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404"/>
        <w:gridCol w:w="2808"/>
        <w:gridCol w:w="5148"/>
      </w:tblGrid>
      <w:tr w:rsidR="00000000">
        <w:trPr>
          <w:tblCellSpacing w:w="0" w:type="dxa"/>
        </w:trPr>
        <w:tc>
          <w:tcPr>
            <w:tcW w:w="0" w:type="auto"/>
            <w:gridSpan w:val="3"/>
            <w:vAlign w:val="center"/>
            <w:hideMark/>
          </w:tcPr>
          <w:p w:rsidR="00000000" w:rsidRDefault="00125B34">
            <w:pPr>
              <w:divId w:val="2081171105"/>
              <w:rPr>
                <w:rFonts w:eastAsia="Times New Roman"/>
              </w:rPr>
            </w:pPr>
            <w:bookmarkStart w:id="0" w:name="_GoBack"/>
            <w:bookmarkEnd w:id="0"/>
            <w:r>
              <w:rPr>
                <w:rFonts w:eastAsia="Times New Roman"/>
              </w:rPr>
              <w:t> </w:t>
            </w:r>
          </w:p>
        </w:tc>
      </w:tr>
      <w:tr w:rsidR="00000000">
        <w:trPr>
          <w:tblCellSpacing w:w="0" w:type="dxa"/>
        </w:trPr>
        <w:tc>
          <w:tcPr>
            <w:tcW w:w="0" w:type="auto"/>
            <w:gridSpan w:val="3"/>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66"/>
              <w:gridCol w:w="1391"/>
            </w:tblGrid>
            <w:tr w:rsidR="00000000">
              <w:trPr>
                <w:tblCellSpacing w:w="0" w:type="dxa"/>
              </w:trPr>
              <w:tc>
                <w:tcPr>
                  <w:tcW w:w="0" w:type="auto"/>
                  <w:tcBorders>
                    <w:top w:val="dashed" w:sz="2" w:space="0" w:color="auto"/>
                    <w:left w:val="dashed" w:sz="2" w:space="0" w:color="auto"/>
                    <w:bottom w:val="dashed" w:sz="2" w:space="0" w:color="auto"/>
                    <w:right w:val="dashed" w:sz="2" w:space="0" w:color="auto"/>
                  </w:tcBorders>
                  <w:tcMar>
                    <w:top w:w="0" w:type="dxa"/>
                    <w:left w:w="0" w:type="dxa"/>
                    <w:bottom w:w="0" w:type="dxa"/>
                    <w:right w:w="0" w:type="dxa"/>
                  </w:tcMar>
                  <w:vAlign w:val="center"/>
                  <w:hideMark/>
                </w:tcPr>
                <w:p w:rsidR="00000000" w:rsidRDefault="00125B34">
                  <w:pPr>
                    <w:pStyle w:val="Heading3"/>
                    <w:spacing w:before="75" w:beforeAutospacing="0" w:after="150" w:afterAutospacing="0"/>
                    <w:jc w:val="center"/>
                    <w:rPr>
                      <w:rFonts w:eastAsia="Times New Roman"/>
                    </w:rPr>
                  </w:pPr>
                  <w:r>
                    <w:rPr>
                      <w:rFonts w:eastAsia="Times New Roman"/>
                    </w:rPr>
                    <w:t>EDGAR SUBMISSION SUMMARY</w:t>
                  </w:r>
                </w:p>
              </w:tc>
              <w:tc>
                <w:tcPr>
                  <w:tcW w:w="250" w:type="pct"/>
                  <w:vAlign w:val="center"/>
                  <w:hideMark/>
                </w:tcPr>
                <w:p w:rsidR="00000000" w:rsidRDefault="00125B34">
                  <w:pPr>
                    <w:rPr>
                      <w:rFonts w:eastAsia="Times New Roman"/>
                    </w:rPr>
                  </w:pPr>
                  <w:r>
                    <w:rPr>
                      <w:rFonts w:eastAsia="Times New Roman"/>
                    </w:rPr>
                    <w:t>VIEW ALL COMMENT</w:t>
                  </w:r>
                  <w:r>
                    <w:rPr>
                      <w:rFonts w:eastAsia="Times New Roman"/>
                    </w:rPr>
                    <w:t>S</w:t>
                  </w:r>
                  <w:r>
                    <w:rPr>
                      <w:rFonts w:eastAsia="Times New Roman"/>
                    </w:rPr>
                    <w:t xml:space="preserve"> </w:t>
                  </w:r>
                </w:p>
              </w:tc>
            </w:tr>
          </w:tbl>
          <w:p w:rsidR="00000000" w:rsidRDefault="00125B34">
            <w:pPr>
              <w:rPr>
                <w:rFonts w:eastAsia="Times New Roman"/>
              </w:rPr>
            </w:pPr>
          </w:p>
        </w:tc>
      </w:tr>
      <w:tr w:rsidR="00000000">
        <w:trPr>
          <w:tblCellSpacing w:w="0" w:type="dxa"/>
        </w:trPr>
        <w:tc>
          <w:tcPr>
            <w:tcW w:w="0" w:type="auto"/>
            <w:gridSpan w:val="3"/>
            <w:vAlign w:val="center"/>
            <w:hideMark/>
          </w:tcPr>
          <w:p w:rsidR="00000000" w:rsidRDefault="00125B34">
            <w:pPr>
              <w:rPr>
                <w:rFonts w:eastAsia="Times New Roman"/>
              </w:rPr>
            </w:pP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Issuer Name</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 Renewables, Inc.</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Submission Type</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8-K</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Live File</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On</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Return Copy</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On</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Exchange</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NONE</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Confirming Copy</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Off</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Filer CIK</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0001606268</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Filer CCC</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xxxxxxxx</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Period of Report</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02-27-2025</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Item IDs</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 xml:space="preserve">Item 8.01 (Other Events (The registrant can use this Item to report events that are not specifically called for by Form 8-K, that the registrant considers to be of importance to security holders.)) </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Item IDs</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 xml:space="preserve">Item 9.01 (Financial Statements and Exhibits) </w:t>
            </w:r>
          </w:p>
        </w:tc>
      </w:tr>
      <w:tr w:rsidR="00000000">
        <w:trPr>
          <w:tblCellSpacing w:w="0" w:type="dxa"/>
        </w:trPr>
        <w:tc>
          <w:tcPr>
            <w:tcW w:w="0" w:type="auto"/>
            <w:vAlign w:val="center"/>
            <w:hideMark/>
          </w:tcPr>
          <w:p w:rsidR="00000000" w:rsidRDefault="00125B34">
            <w:pPr>
              <w:rPr>
                <w:rFonts w:eastAsia="Times New Roman"/>
              </w:rPr>
            </w:pPr>
          </w:p>
        </w:tc>
        <w:tc>
          <w:tcPr>
            <w:tcW w:w="0" w:type="auto"/>
            <w:vAlign w:val="center"/>
            <w:hideMark/>
          </w:tcPr>
          <w:p w:rsidR="00000000" w:rsidRDefault="00125B34">
            <w:pPr>
              <w:rPr>
                <w:rFonts w:eastAsia="Times New Roman"/>
                <w:sz w:val="20"/>
                <w:szCs w:val="20"/>
              </w:rPr>
            </w:pPr>
          </w:p>
        </w:tc>
        <w:tc>
          <w:tcPr>
            <w:tcW w:w="0" w:type="auto"/>
            <w:vAlign w:val="center"/>
            <w:hideMark/>
          </w:tcPr>
          <w:p w:rsidR="00000000" w:rsidRDefault="00125B34">
            <w:pPr>
              <w:rPr>
                <w:rFonts w:eastAsia="Times New Roman"/>
                <w:sz w:val="20"/>
                <w:szCs w:val="20"/>
              </w:rPr>
            </w:pP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Emerging Growth Company</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 xml:space="preserve">No </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Notify via Filing website Only</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Off</w:t>
            </w:r>
          </w:p>
        </w:tc>
      </w:tr>
      <w:tr w:rsidR="00000000">
        <w:trPr>
          <w:tblCellSpacing w:w="0" w:type="dxa"/>
        </w:trPr>
        <w:tc>
          <w:tcPr>
            <w:tcW w:w="500" w:type="pct"/>
            <w:vAlign w:val="center"/>
            <w:hideMark/>
          </w:tcPr>
          <w:p w:rsidR="00000000" w:rsidRDefault="00125B34">
            <w:pPr>
              <w:rPr>
                <w:rFonts w:eastAsia="Times New Roman"/>
              </w:rPr>
            </w:pPr>
            <w:r>
              <w:rPr>
                <w:rFonts w:eastAsia="Times New Roman"/>
              </w:rPr>
              <w:t> </w:t>
            </w:r>
          </w:p>
        </w:tc>
        <w:tc>
          <w:tcPr>
            <w:tcW w:w="15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Emails</w:t>
            </w:r>
          </w:p>
        </w:tc>
        <w:tc>
          <w:tcPr>
            <w:tcW w:w="3000" w:type="pct"/>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confirmations@issuerdirect.com</w:t>
            </w:r>
          </w:p>
        </w:tc>
      </w:tr>
      <w:tr w:rsidR="00000000">
        <w:trPr>
          <w:tblCellSpacing w:w="0" w:type="dxa"/>
        </w:trPr>
        <w:tc>
          <w:tcPr>
            <w:tcW w:w="0" w:type="auto"/>
            <w:gridSpan w:val="3"/>
            <w:vAlign w:val="center"/>
            <w:hideMark/>
          </w:tcPr>
          <w:p w:rsidR="00000000" w:rsidRDefault="00125B34">
            <w:pPr>
              <w:divId w:val="180823514"/>
              <w:rPr>
                <w:rFonts w:eastAsia="Times New Roman"/>
              </w:rPr>
            </w:pPr>
            <w:r>
              <w:rPr>
                <w:rFonts w:eastAsia="Times New Roman"/>
              </w:rPr>
              <w:t> </w:t>
            </w:r>
          </w:p>
        </w:tc>
      </w:tr>
      <w:tr w:rsidR="00000000">
        <w:trPr>
          <w:tblCellSpacing w:w="0" w:type="dxa"/>
        </w:trPr>
        <w:tc>
          <w:tcPr>
            <w:tcW w:w="0" w:type="auto"/>
            <w:gridSpan w:val="3"/>
            <w:tcMar>
              <w:top w:w="75" w:type="dxa"/>
              <w:left w:w="0" w:type="dxa"/>
              <w:bottom w:w="75" w:type="dxa"/>
              <w:right w:w="0" w:type="dxa"/>
            </w:tcMar>
            <w:vAlign w:val="center"/>
            <w:hideMark/>
          </w:tcPr>
          <w:p w:rsidR="00000000" w:rsidRDefault="00125B34">
            <w:pPr>
              <w:rPr>
                <w:rFonts w:eastAsia="Times New Roman"/>
              </w:rPr>
            </w:pPr>
            <w:r>
              <w:rPr>
                <w:rFonts w:ascii="Arial" w:eastAsia="Times New Roman" w:hAnsi="Arial" w:cs="Arial"/>
                <w:b/>
                <w:bCs/>
                <w:sz w:val="26"/>
                <w:szCs w:val="26"/>
              </w:rPr>
              <w:t>Documents</w:t>
            </w:r>
            <w:r>
              <w:rPr>
                <w:rFonts w:eastAsia="Times New Roman"/>
              </w:rPr>
              <w:t xml:space="preserve"> </w:t>
            </w:r>
          </w:p>
        </w:tc>
      </w:tr>
      <w:tr w:rsidR="00000000">
        <w:trPr>
          <w:tblCellSpacing w:w="0" w:type="dxa"/>
        </w:trPr>
        <w:tc>
          <w:tcPr>
            <w:tcW w:w="0" w:type="auto"/>
            <w:tcBorders>
              <w:bottom w:val="single" w:sz="6" w:space="0" w:color="000000"/>
            </w:tcBorders>
            <w:tcMar>
              <w:top w:w="75" w:type="dxa"/>
              <w:left w:w="0" w:type="dxa"/>
              <w:bottom w:w="0" w:type="dxa"/>
              <w:right w:w="0" w:type="dxa"/>
            </w:tcMar>
            <w:vAlign w:val="center"/>
            <w:hideMark/>
          </w:tcPr>
          <w:p w:rsidR="00000000" w:rsidRDefault="00125B34">
            <w:pPr>
              <w:rPr>
                <w:rFonts w:eastAsia="Times New Roman"/>
              </w:rPr>
            </w:pPr>
            <w:r>
              <w:rPr>
                <w:rFonts w:ascii="Arial" w:eastAsia="Times New Roman" w:hAnsi="Arial" w:cs="Arial"/>
                <w:b/>
                <w:bCs/>
                <w:sz w:val="18"/>
                <w:szCs w:val="18"/>
              </w:rPr>
              <w:t>Form Type</w:t>
            </w:r>
          </w:p>
        </w:tc>
        <w:tc>
          <w:tcPr>
            <w:tcW w:w="0" w:type="auto"/>
            <w:tcBorders>
              <w:bottom w:val="single" w:sz="6" w:space="0" w:color="000000"/>
            </w:tcBorders>
            <w:tcMar>
              <w:top w:w="75" w:type="dxa"/>
              <w:left w:w="0" w:type="dxa"/>
              <w:bottom w:w="0" w:type="dxa"/>
              <w:right w:w="0" w:type="dxa"/>
            </w:tcMar>
            <w:vAlign w:val="center"/>
            <w:hideMark/>
          </w:tcPr>
          <w:p w:rsidR="00000000" w:rsidRDefault="00125B34">
            <w:pPr>
              <w:rPr>
                <w:rFonts w:eastAsia="Times New Roman"/>
              </w:rPr>
            </w:pPr>
            <w:r>
              <w:rPr>
                <w:rFonts w:ascii="Arial" w:eastAsia="Times New Roman" w:hAnsi="Arial" w:cs="Arial"/>
                <w:b/>
                <w:bCs/>
                <w:sz w:val="18"/>
                <w:szCs w:val="18"/>
              </w:rPr>
              <w:t>File Name</w:t>
            </w:r>
          </w:p>
        </w:tc>
        <w:tc>
          <w:tcPr>
            <w:tcW w:w="0" w:type="auto"/>
            <w:tcBorders>
              <w:bottom w:val="single" w:sz="6" w:space="0" w:color="000000"/>
            </w:tcBorders>
            <w:tcMar>
              <w:top w:w="75" w:type="dxa"/>
              <w:left w:w="0" w:type="dxa"/>
              <w:bottom w:w="0" w:type="dxa"/>
              <w:right w:w="0" w:type="dxa"/>
            </w:tcMar>
            <w:vAlign w:val="center"/>
            <w:hideMark/>
          </w:tcPr>
          <w:p w:rsidR="00000000" w:rsidRDefault="00125B34">
            <w:pPr>
              <w:rPr>
                <w:rFonts w:eastAsia="Times New Roman"/>
              </w:rPr>
            </w:pPr>
            <w:r>
              <w:rPr>
                <w:rFonts w:ascii="Arial" w:eastAsia="Times New Roman" w:hAnsi="Arial" w:cs="Arial"/>
                <w:b/>
                <w:bCs/>
                <w:sz w:val="18"/>
                <w:szCs w:val="18"/>
              </w:rPr>
              <w:t>Description</w:t>
            </w:r>
          </w:p>
        </w:tc>
      </w:tr>
      <w:tr w:rsidR="00000000">
        <w:trPr>
          <w:tblCellSpacing w:w="0" w:type="dxa"/>
        </w:trPr>
        <w:tc>
          <w:tcPr>
            <w:tcW w:w="750" w:type="pct"/>
            <w:shd w:val="clear" w:color="auto" w:fill="EEEEEE"/>
            <w:vAlign w:val="center"/>
            <w:hideMark/>
          </w:tcPr>
          <w:p w:rsidR="00000000" w:rsidRDefault="00125B34">
            <w:pPr>
              <w:rPr>
                <w:rFonts w:eastAsia="Times New Roman"/>
              </w:rPr>
            </w:pPr>
            <w:r>
              <w:rPr>
                <w:rFonts w:ascii="Arial" w:eastAsia="Times New Roman" w:hAnsi="Arial" w:cs="Arial"/>
                <w:b/>
                <w:bCs/>
                <w:sz w:val="17"/>
                <w:szCs w:val="17"/>
              </w:rPr>
              <w:t>8-K</w:t>
            </w:r>
          </w:p>
        </w:tc>
        <w:tc>
          <w:tcPr>
            <w:tcW w:w="125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via_8k.htm</w:t>
            </w:r>
          </w:p>
        </w:tc>
        <w:tc>
          <w:tcPr>
            <w:tcW w:w="300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FORM 8-K</w:t>
            </w:r>
          </w:p>
        </w:tc>
      </w:tr>
      <w:tr w:rsidR="00000000">
        <w:trPr>
          <w:tblCellSpacing w:w="0" w:type="dxa"/>
        </w:trPr>
        <w:tc>
          <w:tcPr>
            <w:tcW w:w="0" w:type="auto"/>
            <w:vAlign w:val="center"/>
            <w:hideMark/>
          </w:tcPr>
          <w:p w:rsidR="00000000" w:rsidRDefault="00125B34">
            <w:pPr>
              <w:rPr>
                <w:rFonts w:eastAsia="Times New Roman"/>
              </w:rPr>
            </w:pPr>
            <w:r>
              <w:rPr>
                <w:rFonts w:eastAsia="Times New Roman"/>
              </w:rPr>
              <w:t> </w:t>
            </w:r>
          </w:p>
        </w:tc>
        <w:tc>
          <w:tcPr>
            <w:tcW w:w="0" w:type="auto"/>
            <w:vAlign w:val="center"/>
            <w:hideMark/>
          </w:tcPr>
          <w:p w:rsidR="00000000" w:rsidRDefault="00125B34">
            <w:pPr>
              <w:rPr>
                <w:rFonts w:eastAsia="Times New Roman"/>
              </w:rPr>
            </w:pPr>
            <w:r>
              <w:rPr>
                <w:rFonts w:ascii="Arial" w:eastAsia="Times New Roman" w:hAnsi="Arial" w:cs="Arial"/>
                <w:b/>
                <w:bCs/>
                <w:sz w:val="17"/>
                <w:szCs w:val="17"/>
              </w:rPr>
              <w:t> </w:t>
            </w:r>
          </w:p>
        </w:tc>
        <w:tc>
          <w:tcPr>
            <w:tcW w:w="0" w:type="auto"/>
            <w:vAlign w:val="center"/>
            <w:hideMark/>
          </w:tcPr>
          <w:p w:rsidR="00000000" w:rsidRDefault="00125B34">
            <w:pPr>
              <w:rPr>
                <w:rFonts w:eastAsia="Times New Roman"/>
              </w:rPr>
            </w:pPr>
            <w:r>
              <w:rPr>
                <w:rFonts w:eastAsia="Times New Roman"/>
              </w:rPr>
              <w:t> </w:t>
            </w:r>
          </w:p>
        </w:tc>
      </w:tr>
      <w:tr w:rsidR="00000000">
        <w:trPr>
          <w:tblCellSpacing w:w="0" w:type="dxa"/>
        </w:trPr>
        <w:tc>
          <w:tcPr>
            <w:tcW w:w="750" w:type="pct"/>
            <w:shd w:val="clear" w:color="auto" w:fill="EEEEEE"/>
            <w:vAlign w:val="center"/>
            <w:hideMark/>
          </w:tcPr>
          <w:p w:rsidR="00000000" w:rsidRDefault="00125B34">
            <w:pPr>
              <w:rPr>
                <w:rFonts w:eastAsia="Times New Roman"/>
              </w:rPr>
            </w:pPr>
            <w:r>
              <w:rPr>
                <w:rFonts w:ascii="Arial" w:eastAsia="Times New Roman" w:hAnsi="Arial" w:cs="Arial"/>
                <w:b/>
                <w:bCs/>
                <w:sz w:val="17"/>
                <w:szCs w:val="17"/>
              </w:rPr>
              <w:t>EX-99.1</w:t>
            </w:r>
          </w:p>
        </w:tc>
        <w:tc>
          <w:tcPr>
            <w:tcW w:w="125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via_ex991.htm</w:t>
            </w:r>
          </w:p>
        </w:tc>
        <w:tc>
          <w:tcPr>
            <w:tcW w:w="300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PRESS RELEASE</w:t>
            </w:r>
          </w:p>
        </w:tc>
      </w:tr>
      <w:tr w:rsidR="00000000">
        <w:trPr>
          <w:tblCellSpacing w:w="0" w:type="dxa"/>
        </w:trPr>
        <w:tc>
          <w:tcPr>
            <w:tcW w:w="0" w:type="auto"/>
            <w:vAlign w:val="center"/>
            <w:hideMark/>
          </w:tcPr>
          <w:p w:rsidR="00000000" w:rsidRDefault="00125B34">
            <w:pPr>
              <w:rPr>
                <w:rFonts w:eastAsia="Times New Roman"/>
              </w:rPr>
            </w:pPr>
            <w:r>
              <w:rPr>
                <w:rFonts w:eastAsia="Times New Roman"/>
              </w:rPr>
              <w:t> </w:t>
            </w:r>
          </w:p>
        </w:tc>
        <w:tc>
          <w:tcPr>
            <w:tcW w:w="0" w:type="auto"/>
            <w:vAlign w:val="center"/>
            <w:hideMark/>
          </w:tcPr>
          <w:p w:rsidR="00000000" w:rsidRDefault="00125B34">
            <w:pPr>
              <w:rPr>
                <w:rFonts w:eastAsia="Times New Roman"/>
              </w:rPr>
            </w:pPr>
            <w:r>
              <w:rPr>
                <w:rFonts w:ascii="Arial" w:eastAsia="Times New Roman" w:hAnsi="Arial" w:cs="Arial"/>
                <w:b/>
                <w:bCs/>
                <w:sz w:val="17"/>
                <w:szCs w:val="17"/>
              </w:rPr>
              <w:t> </w:t>
            </w:r>
          </w:p>
        </w:tc>
        <w:tc>
          <w:tcPr>
            <w:tcW w:w="0" w:type="auto"/>
            <w:vAlign w:val="center"/>
            <w:hideMark/>
          </w:tcPr>
          <w:p w:rsidR="00000000" w:rsidRDefault="00125B34">
            <w:pPr>
              <w:rPr>
                <w:rFonts w:eastAsia="Times New Roman"/>
              </w:rPr>
            </w:pPr>
            <w:r>
              <w:rPr>
                <w:rFonts w:eastAsia="Times New Roman"/>
              </w:rPr>
              <w:t> </w:t>
            </w:r>
          </w:p>
        </w:tc>
      </w:tr>
      <w:tr w:rsidR="00000000">
        <w:trPr>
          <w:tblCellSpacing w:w="0" w:type="dxa"/>
        </w:trPr>
        <w:tc>
          <w:tcPr>
            <w:tcW w:w="750" w:type="pct"/>
            <w:shd w:val="clear" w:color="auto" w:fill="EEEEEE"/>
            <w:vAlign w:val="center"/>
            <w:hideMark/>
          </w:tcPr>
          <w:p w:rsidR="00000000" w:rsidRDefault="00125B34">
            <w:pPr>
              <w:rPr>
                <w:rFonts w:eastAsia="Times New Roman"/>
              </w:rPr>
            </w:pPr>
            <w:r>
              <w:rPr>
                <w:rFonts w:ascii="Arial" w:eastAsia="Times New Roman" w:hAnsi="Arial" w:cs="Arial"/>
                <w:b/>
                <w:bCs/>
                <w:sz w:val="17"/>
                <w:szCs w:val="17"/>
              </w:rPr>
              <w:t>EX-101.SCH</w:t>
            </w:r>
          </w:p>
        </w:tc>
        <w:tc>
          <w:tcPr>
            <w:tcW w:w="125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via-20250227.xsd</w:t>
            </w:r>
          </w:p>
        </w:tc>
        <w:tc>
          <w:tcPr>
            <w:tcW w:w="300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XBRL TAXONOMY EXTENSION SCHEMA</w:t>
            </w:r>
          </w:p>
        </w:tc>
      </w:tr>
      <w:tr w:rsidR="00000000">
        <w:trPr>
          <w:tblCellSpacing w:w="0" w:type="dxa"/>
        </w:trPr>
        <w:tc>
          <w:tcPr>
            <w:tcW w:w="0" w:type="auto"/>
            <w:vAlign w:val="center"/>
            <w:hideMark/>
          </w:tcPr>
          <w:p w:rsidR="00000000" w:rsidRDefault="00125B34">
            <w:pPr>
              <w:rPr>
                <w:rFonts w:eastAsia="Times New Roman"/>
              </w:rPr>
            </w:pPr>
            <w:r>
              <w:rPr>
                <w:rFonts w:eastAsia="Times New Roman"/>
              </w:rPr>
              <w:t> </w:t>
            </w:r>
          </w:p>
        </w:tc>
        <w:tc>
          <w:tcPr>
            <w:tcW w:w="0" w:type="auto"/>
            <w:vAlign w:val="center"/>
            <w:hideMark/>
          </w:tcPr>
          <w:p w:rsidR="00000000" w:rsidRDefault="00125B34">
            <w:pPr>
              <w:rPr>
                <w:rFonts w:eastAsia="Times New Roman"/>
              </w:rPr>
            </w:pPr>
            <w:r>
              <w:rPr>
                <w:rFonts w:ascii="Arial" w:eastAsia="Times New Roman" w:hAnsi="Arial" w:cs="Arial"/>
                <w:b/>
                <w:bCs/>
                <w:sz w:val="17"/>
                <w:szCs w:val="17"/>
              </w:rPr>
              <w:t> </w:t>
            </w:r>
          </w:p>
        </w:tc>
        <w:tc>
          <w:tcPr>
            <w:tcW w:w="0" w:type="auto"/>
            <w:vAlign w:val="center"/>
            <w:hideMark/>
          </w:tcPr>
          <w:p w:rsidR="00000000" w:rsidRDefault="00125B34">
            <w:pPr>
              <w:rPr>
                <w:rFonts w:eastAsia="Times New Roman"/>
              </w:rPr>
            </w:pPr>
            <w:r>
              <w:rPr>
                <w:rFonts w:eastAsia="Times New Roman"/>
              </w:rPr>
              <w:t> </w:t>
            </w:r>
          </w:p>
        </w:tc>
      </w:tr>
      <w:tr w:rsidR="00000000">
        <w:trPr>
          <w:tblCellSpacing w:w="0" w:type="dxa"/>
        </w:trPr>
        <w:tc>
          <w:tcPr>
            <w:tcW w:w="750" w:type="pct"/>
            <w:shd w:val="clear" w:color="auto" w:fill="EEEEEE"/>
            <w:vAlign w:val="center"/>
            <w:hideMark/>
          </w:tcPr>
          <w:p w:rsidR="00000000" w:rsidRDefault="00125B34">
            <w:pPr>
              <w:rPr>
                <w:rFonts w:eastAsia="Times New Roman"/>
              </w:rPr>
            </w:pPr>
            <w:r>
              <w:rPr>
                <w:rFonts w:ascii="Arial" w:eastAsia="Times New Roman" w:hAnsi="Arial" w:cs="Arial"/>
                <w:b/>
                <w:bCs/>
                <w:sz w:val="17"/>
                <w:szCs w:val="17"/>
              </w:rPr>
              <w:t>EX-101.LAB</w:t>
            </w:r>
          </w:p>
        </w:tc>
        <w:tc>
          <w:tcPr>
            <w:tcW w:w="125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via-20250227_lab.xml</w:t>
            </w:r>
          </w:p>
        </w:tc>
        <w:tc>
          <w:tcPr>
            <w:tcW w:w="300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XBRL TAXONOMY EXTENSION LABEL LINKBASE</w:t>
            </w:r>
          </w:p>
        </w:tc>
      </w:tr>
      <w:tr w:rsidR="00000000">
        <w:trPr>
          <w:tblCellSpacing w:w="0" w:type="dxa"/>
        </w:trPr>
        <w:tc>
          <w:tcPr>
            <w:tcW w:w="0" w:type="auto"/>
            <w:vAlign w:val="center"/>
            <w:hideMark/>
          </w:tcPr>
          <w:p w:rsidR="00000000" w:rsidRDefault="00125B34">
            <w:pPr>
              <w:rPr>
                <w:rFonts w:eastAsia="Times New Roman"/>
              </w:rPr>
            </w:pPr>
            <w:r>
              <w:rPr>
                <w:rFonts w:eastAsia="Times New Roman"/>
              </w:rPr>
              <w:t> </w:t>
            </w:r>
          </w:p>
        </w:tc>
        <w:tc>
          <w:tcPr>
            <w:tcW w:w="0" w:type="auto"/>
            <w:vAlign w:val="center"/>
            <w:hideMark/>
          </w:tcPr>
          <w:p w:rsidR="00000000" w:rsidRDefault="00125B34">
            <w:pPr>
              <w:rPr>
                <w:rFonts w:eastAsia="Times New Roman"/>
              </w:rPr>
            </w:pPr>
            <w:r>
              <w:rPr>
                <w:rFonts w:ascii="Arial" w:eastAsia="Times New Roman" w:hAnsi="Arial" w:cs="Arial"/>
                <w:b/>
                <w:bCs/>
                <w:sz w:val="17"/>
                <w:szCs w:val="17"/>
              </w:rPr>
              <w:t> </w:t>
            </w:r>
          </w:p>
        </w:tc>
        <w:tc>
          <w:tcPr>
            <w:tcW w:w="0" w:type="auto"/>
            <w:vAlign w:val="center"/>
            <w:hideMark/>
          </w:tcPr>
          <w:p w:rsidR="00000000" w:rsidRDefault="00125B34">
            <w:pPr>
              <w:rPr>
                <w:rFonts w:eastAsia="Times New Roman"/>
              </w:rPr>
            </w:pPr>
            <w:r>
              <w:rPr>
                <w:rFonts w:eastAsia="Times New Roman"/>
              </w:rPr>
              <w:t> </w:t>
            </w:r>
          </w:p>
        </w:tc>
      </w:tr>
      <w:tr w:rsidR="00000000">
        <w:trPr>
          <w:tblCellSpacing w:w="0" w:type="dxa"/>
        </w:trPr>
        <w:tc>
          <w:tcPr>
            <w:tcW w:w="750" w:type="pct"/>
            <w:shd w:val="clear" w:color="auto" w:fill="EEEEEE"/>
            <w:vAlign w:val="center"/>
            <w:hideMark/>
          </w:tcPr>
          <w:p w:rsidR="00000000" w:rsidRDefault="00125B34">
            <w:pPr>
              <w:rPr>
                <w:rFonts w:eastAsia="Times New Roman"/>
              </w:rPr>
            </w:pPr>
            <w:r>
              <w:rPr>
                <w:rFonts w:ascii="Arial" w:eastAsia="Times New Roman" w:hAnsi="Arial" w:cs="Arial"/>
                <w:b/>
                <w:bCs/>
                <w:sz w:val="17"/>
                <w:szCs w:val="17"/>
              </w:rPr>
              <w:t>EX-101.CAL</w:t>
            </w:r>
          </w:p>
        </w:tc>
        <w:tc>
          <w:tcPr>
            <w:tcW w:w="125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via-20250227_cal.xml</w:t>
            </w:r>
          </w:p>
        </w:tc>
        <w:tc>
          <w:tcPr>
            <w:tcW w:w="300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XBRL TAXONOMY EXTENSION CALCULATION LINKBASE</w:t>
            </w:r>
          </w:p>
        </w:tc>
      </w:tr>
      <w:tr w:rsidR="00000000">
        <w:trPr>
          <w:tblCellSpacing w:w="0" w:type="dxa"/>
        </w:trPr>
        <w:tc>
          <w:tcPr>
            <w:tcW w:w="0" w:type="auto"/>
            <w:vAlign w:val="center"/>
            <w:hideMark/>
          </w:tcPr>
          <w:p w:rsidR="00000000" w:rsidRDefault="00125B34">
            <w:pPr>
              <w:rPr>
                <w:rFonts w:eastAsia="Times New Roman"/>
              </w:rPr>
            </w:pPr>
            <w:r>
              <w:rPr>
                <w:rFonts w:eastAsia="Times New Roman"/>
              </w:rPr>
              <w:t> </w:t>
            </w:r>
          </w:p>
        </w:tc>
        <w:tc>
          <w:tcPr>
            <w:tcW w:w="0" w:type="auto"/>
            <w:vAlign w:val="center"/>
            <w:hideMark/>
          </w:tcPr>
          <w:p w:rsidR="00000000" w:rsidRDefault="00125B34">
            <w:pPr>
              <w:rPr>
                <w:rFonts w:eastAsia="Times New Roman"/>
              </w:rPr>
            </w:pPr>
            <w:r>
              <w:rPr>
                <w:rFonts w:ascii="Arial" w:eastAsia="Times New Roman" w:hAnsi="Arial" w:cs="Arial"/>
                <w:b/>
                <w:bCs/>
                <w:sz w:val="17"/>
                <w:szCs w:val="17"/>
              </w:rPr>
              <w:t> </w:t>
            </w:r>
          </w:p>
        </w:tc>
        <w:tc>
          <w:tcPr>
            <w:tcW w:w="0" w:type="auto"/>
            <w:vAlign w:val="center"/>
            <w:hideMark/>
          </w:tcPr>
          <w:p w:rsidR="00000000" w:rsidRDefault="00125B34">
            <w:pPr>
              <w:rPr>
                <w:rFonts w:eastAsia="Times New Roman"/>
              </w:rPr>
            </w:pPr>
            <w:r>
              <w:rPr>
                <w:rFonts w:eastAsia="Times New Roman"/>
              </w:rPr>
              <w:t> </w:t>
            </w:r>
          </w:p>
        </w:tc>
      </w:tr>
      <w:tr w:rsidR="00000000">
        <w:trPr>
          <w:tblCellSpacing w:w="0" w:type="dxa"/>
        </w:trPr>
        <w:tc>
          <w:tcPr>
            <w:tcW w:w="750" w:type="pct"/>
            <w:shd w:val="clear" w:color="auto" w:fill="EEEEEE"/>
            <w:vAlign w:val="center"/>
            <w:hideMark/>
          </w:tcPr>
          <w:p w:rsidR="00000000" w:rsidRDefault="00125B34">
            <w:pPr>
              <w:rPr>
                <w:rFonts w:eastAsia="Times New Roman"/>
              </w:rPr>
            </w:pPr>
            <w:r>
              <w:rPr>
                <w:rFonts w:ascii="Arial" w:eastAsia="Times New Roman" w:hAnsi="Arial" w:cs="Arial"/>
                <w:b/>
                <w:bCs/>
                <w:sz w:val="17"/>
                <w:szCs w:val="17"/>
              </w:rPr>
              <w:t>EX-101.PRE</w:t>
            </w:r>
          </w:p>
        </w:tc>
        <w:tc>
          <w:tcPr>
            <w:tcW w:w="125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via-20250227_pre.xml</w:t>
            </w:r>
          </w:p>
        </w:tc>
        <w:tc>
          <w:tcPr>
            <w:tcW w:w="300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XBRL TAXONOMY EXTENSION PRESENTATION LINKBASE</w:t>
            </w:r>
          </w:p>
        </w:tc>
      </w:tr>
      <w:tr w:rsidR="00000000">
        <w:trPr>
          <w:tblCellSpacing w:w="0" w:type="dxa"/>
        </w:trPr>
        <w:tc>
          <w:tcPr>
            <w:tcW w:w="0" w:type="auto"/>
            <w:vAlign w:val="center"/>
            <w:hideMark/>
          </w:tcPr>
          <w:p w:rsidR="00000000" w:rsidRDefault="00125B34">
            <w:pPr>
              <w:rPr>
                <w:rFonts w:eastAsia="Times New Roman"/>
              </w:rPr>
            </w:pPr>
            <w:r>
              <w:rPr>
                <w:rFonts w:eastAsia="Times New Roman"/>
              </w:rPr>
              <w:t> </w:t>
            </w:r>
          </w:p>
        </w:tc>
        <w:tc>
          <w:tcPr>
            <w:tcW w:w="0" w:type="auto"/>
            <w:vAlign w:val="center"/>
            <w:hideMark/>
          </w:tcPr>
          <w:p w:rsidR="00000000" w:rsidRDefault="00125B34">
            <w:pPr>
              <w:rPr>
                <w:rFonts w:eastAsia="Times New Roman"/>
              </w:rPr>
            </w:pPr>
            <w:r>
              <w:rPr>
                <w:rFonts w:ascii="Arial" w:eastAsia="Times New Roman" w:hAnsi="Arial" w:cs="Arial"/>
                <w:b/>
                <w:bCs/>
                <w:sz w:val="17"/>
                <w:szCs w:val="17"/>
              </w:rPr>
              <w:t> </w:t>
            </w:r>
          </w:p>
        </w:tc>
        <w:tc>
          <w:tcPr>
            <w:tcW w:w="0" w:type="auto"/>
            <w:vAlign w:val="center"/>
            <w:hideMark/>
          </w:tcPr>
          <w:p w:rsidR="00000000" w:rsidRDefault="00125B34">
            <w:pPr>
              <w:rPr>
                <w:rFonts w:eastAsia="Times New Roman"/>
              </w:rPr>
            </w:pPr>
            <w:r>
              <w:rPr>
                <w:rFonts w:eastAsia="Times New Roman"/>
              </w:rPr>
              <w:t> </w:t>
            </w:r>
          </w:p>
        </w:tc>
      </w:tr>
      <w:tr w:rsidR="00000000">
        <w:trPr>
          <w:tblCellSpacing w:w="0" w:type="dxa"/>
        </w:trPr>
        <w:tc>
          <w:tcPr>
            <w:tcW w:w="750" w:type="pct"/>
            <w:shd w:val="clear" w:color="auto" w:fill="EEEEEE"/>
            <w:vAlign w:val="center"/>
            <w:hideMark/>
          </w:tcPr>
          <w:p w:rsidR="00000000" w:rsidRDefault="00125B34">
            <w:pPr>
              <w:rPr>
                <w:rFonts w:eastAsia="Times New Roman"/>
              </w:rPr>
            </w:pPr>
            <w:r>
              <w:rPr>
                <w:rFonts w:ascii="Arial" w:eastAsia="Times New Roman" w:hAnsi="Arial" w:cs="Arial"/>
                <w:b/>
                <w:bCs/>
                <w:sz w:val="17"/>
                <w:szCs w:val="17"/>
              </w:rPr>
              <w:t>EX-101.DEF</w:t>
            </w:r>
          </w:p>
        </w:tc>
        <w:tc>
          <w:tcPr>
            <w:tcW w:w="125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via-20250227_def.xml</w:t>
            </w:r>
          </w:p>
        </w:tc>
        <w:tc>
          <w:tcPr>
            <w:tcW w:w="3000" w:type="pct"/>
            <w:shd w:val="clear" w:color="auto" w:fill="EEEEEE"/>
            <w:tcMar>
              <w:top w:w="15" w:type="dxa"/>
              <w:left w:w="15" w:type="dxa"/>
              <w:bottom w:w="15" w:type="dxa"/>
              <w:right w:w="15" w:type="dxa"/>
            </w:tcMar>
            <w:vAlign w:val="center"/>
            <w:hideMark/>
          </w:tcPr>
          <w:p w:rsidR="00000000" w:rsidRDefault="00125B34">
            <w:pPr>
              <w:rPr>
                <w:rFonts w:eastAsia="Times New Roman"/>
              </w:rPr>
            </w:pPr>
            <w:r>
              <w:rPr>
                <w:rFonts w:ascii="Arial" w:eastAsia="Times New Roman" w:hAnsi="Arial" w:cs="Arial"/>
                <w:b/>
                <w:bCs/>
                <w:sz w:val="17"/>
                <w:szCs w:val="17"/>
              </w:rPr>
              <w:t>XBRL TAXONOMY EXTENSION DEFINITION LINKBASE</w:t>
            </w:r>
          </w:p>
        </w:tc>
      </w:tr>
      <w:tr w:rsidR="00000000">
        <w:trPr>
          <w:tblCellSpacing w:w="0" w:type="dxa"/>
        </w:trPr>
        <w:tc>
          <w:tcPr>
            <w:tcW w:w="0" w:type="auto"/>
            <w:vAlign w:val="center"/>
            <w:hideMark/>
          </w:tcPr>
          <w:p w:rsidR="00000000" w:rsidRDefault="00125B34">
            <w:pPr>
              <w:rPr>
                <w:rFonts w:eastAsia="Times New Roman"/>
              </w:rPr>
            </w:pPr>
            <w:r>
              <w:rPr>
                <w:rFonts w:eastAsia="Times New Roman"/>
              </w:rPr>
              <w:t> </w:t>
            </w:r>
          </w:p>
        </w:tc>
        <w:tc>
          <w:tcPr>
            <w:tcW w:w="0" w:type="auto"/>
            <w:vAlign w:val="center"/>
            <w:hideMark/>
          </w:tcPr>
          <w:p w:rsidR="00000000" w:rsidRDefault="00125B34">
            <w:pPr>
              <w:rPr>
                <w:rFonts w:eastAsia="Times New Roman"/>
              </w:rPr>
            </w:pPr>
            <w:r>
              <w:rPr>
                <w:rFonts w:ascii="Arial" w:eastAsia="Times New Roman" w:hAnsi="Arial" w:cs="Arial"/>
                <w:b/>
                <w:bCs/>
                <w:sz w:val="17"/>
                <w:szCs w:val="17"/>
              </w:rPr>
              <w:t> </w:t>
            </w:r>
          </w:p>
        </w:tc>
        <w:tc>
          <w:tcPr>
            <w:tcW w:w="0" w:type="auto"/>
            <w:vAlign w:val="center"/>
            <w:hideMark/>
          </w:tcPr>
          <w:p w:rsidR="00000000" w:rsidRDefault="00125B34">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125B34">
            <w:pPr>
              <w:rPr>
                <w:rFonts w:eastAsia="Times New Roman"/>
              </w:rPr>
            </w:pPr>
            <w:r>
              <w:rPr>
                <w:rFonts w:ascii="Arial" w:eastAsia="Times New Roman" w:hAnsi="Arial" w:cs="Arial"/>
                <w:b/>
                <w:bCs/>
              </w:rPr>
              <w:t>Module and Segment References</w:t>
            </w:r>
          </w:p>
        </w:tc>
      </w:tr>
    </w:tbl>
    <w:p w:rsidR="00000000" w:rsidRDefault="00125B34">
      <w:pPr>
        <w:divId w:val="1870679658"/>
        <w:rPr>
          <w:rFonts w:eastAsia="Times New Roman"/>
        </w:rPr>
      </w:pPr>
      <w:r>
        <w:rPr>
          <w:rFonts w:eastAsia="Times New Roman"/>
        </w:rPr>
        <w:t> </w:t>
      </w:r>
    </w:p>
    <w:p w:rsidR="00000000" w:rsidRDefault="00125B34">
      <w:pPr>
        <w:rPr>
          <w:rFonts w:eastAsia="Times New Roman"/>
        </w:rPr>
      </w:pPr>
    </w:p>
    <w:p w:rsidR="00000000" w:rsidRDefault="00125B34">
      <w:pPr>
        <w:jc w:val="both"/>
        <w:divId w:val="630746744"/>
        <w:rPr>
          <w:rFonts w:eastAsia="Times New Roman"/>
          <w:vanish/>
          <w:sz w:val="20"/>
          <w:szCs w:val="20"/>
        </w:rPr>
      </w:pPr>
      <w:customXml w:uri="http://www.xbrl.org/2013/inlineXBRL" w:element="header">
        <w:customXml w:uri="http://www.xbrl.org/2013/inlineXBRL" w:element="hidden">
          <w:customXml w:uri="http://www.xbrl.org/2013/inlineXBRL" w:element="nonNumeric">
            <w:customXmlPr>
              <w:attr w:name="name" w:val="dei:EntityCentralIndexKey"/>
              <w:attr w:name="contextRef" w:val="From2025-02-27to2025-02-27"/>
            </w:customXmlPr>
            <w:r>
              <w:rPr>
                <w:rFonts w:eastAsia="Times New Roman"/>
                <w:vanish/>
                <w:sz w:val="20"/>
                <w:szCs w:val="20"/>
              </w:rPr>
              <w:t>0001606268</w:t>
            </w:r>
          </w:customXml>
          <w:customXml w:uri="http://www.xbrl.org/2013/inlineXBRL" w:element="nonNumeric">
            <w:customXmlPr>
              <w:attr w:name="name" w:val="dei:AmendmentFlag"/>
              <w:attr w:name="contextRef" w:val="From2025-02-27to2025-02-27"/>
              <w:attr w:name="format" w:val="ixt:booleanfalse"/>
            </w:customXmlPr>
            <w:r>
              <w:rPr>
                <w:rFonts w:eastAsia="Times New Roman"/>
                <w:vanish/>
                <w:sz w:val="20"/>
                <w:szCs w:val="20"/>
              </w:rPr>
              <w:t>false</w:t>
            </w:r>
          </w:customXml>
        </w:customXml>
        <w:customXml w:uri="http://www.xbrl.org/2013/inlineXBRL" w:element="references">
          <w:customXml w:uri="http://www.xbrl.org/2003/linkbase" w:element="schemaRef">
            <w:customXmlPr>
              <w:attr w:uri="http://www.w3.org/1999/xlink" w:name="type" w:val="simple"/>
              <w:attr w:uri="http://www.w3.org/1999/xlink" w:name="href" w:val="via-20250227.xsd"/>
            </w:customXmlPr>
          </w:customXml>
        </w:customXml>
        <w:customXml w:uri="http://www.xbrl.org/2013/inlineXBRL" w:element="resources">
          <w:customXml w:uri="http://www.xbrl.org/2003/instance" w:element="context">
            <w:customXmlPr>
              <w:attr w:name="id" w:val="From2025-02-27to2025-02-27"/>
            </w:customXmlPr>
            <w:customXml w:uri="http://www.xbrl.org/2003/instance" w:element="entity">
              <w:customXml w:uri="http://www.xbrl.org/2003/instance" w:element="identifier">
                <w:customXmlPr>
                  <w:attr w:name="scheme" w:val="http://www.sec.gov/CIK"/>
                </w:customXmlPr>
                <w:r>
                  <w:rPr>
                    <w:rFonts w:eastAsia="Times New Roman"/>
                    <w:vanish/>
                    <w:sz w:val="20"/>
                    <w:szCs w:val="20"/>
                  </w:rPr>
                  <w:t>0001606268</w:t>
                </w:r>
              </w:customXml>
            </w:customXml>
            <w:customXml w:uri="http://www.xbrl.org/2003/instance" w:element="period">
              <w:customXml w:uri="http://www.xbrl.org/2003/instance" w:element="startDate">
                <w:r>
                  <w:rPr>
                    <w:rFonts w:eastAsia="Times New Roman"/>
                    <w:vanish/>
                    <w:sz w:val="20"/>
                    <w:szCs w:val="20"/>
                  </w:rPr>
                  <w:t>2025-02-27</w:t>
                </w:r>
              </w:customXml>
              <w:customXml w:uri="http://www.xbrl.org/2003/instance" w:element="endDate">
                <w:r>
                  <w:rPr>
                    <w:rFonts w:eastAsia="Times New Roman"/>
                    <w:vanish/>
                    <w:sz w:val="20"/>
                    <w:szCs w:val="20"/>
                  </w:rPr>
                  <w:t>2025-02-27</w:t>
                </w:r>
              </w:customXml>
            </w:customXml>
          </w:customXml>
          <w:customXml w:uri="http://www.xbrl.org/2003/instance" w:element="unit">
            <w:customXmlPr>
              <w:attr w:name="id" w:val="USD"/>
            </w:customXmlPr>
            <w:customXml w:uri="http://www.xbrl.org/2003/instance" w:element="measure">
              <w:r>
                <w:rPr>
                  <w:rFonts w:eastAsia="Times New Roman"/>
                  <w:vanish/>
                  <w:sz w:val="20"/>
                  <w:szCs w:val="20"/>
                </w:rPr>
                <w:t>iso4217:USD</w:t>
              </w:r>
            </w:customXml>
          </w:customXml>
          <w:customXml w:uri="http://www.xbrl.org/2003/instance" w:element="unit">
            <w:customXmlPr>
              <w:attr w:name="id" w:val="Shares"/>
            </w:customXmlPr>
            <w:customXml w:uri="http://www.xbrl.org/2003/instance" w:element="measure">
              <w:r>
                <w:rPr>
                  <w:rFonts w:eastAsia="Times New Roman"/>
                  <w:vanish/>
                  <w:sz w:val="20"/>
                  <w:szCs w:val="20"/>
                </w:rPr>
                <w:t>xbrli:shares</w:t>
              </w:r>
            </w:customXml>
          </w:customXml>
          <w:customXml w:uri="http://www.xbrl.org/2003/instance" w:element="unit">
            <w:customXmlPr>
              <w:attr w:name="id" w:val="USDPShares"/>
            </w:customXmlPr>
            <w:customXml w:uri="http://www.xbrl.org/2003/instance" w:element="divide">
              <w:customXml w:uri="http://www.xbrl.org/2003/instance" w:element="unitNumerator">
                <w:customXml w:uri="http://www.xbrl.org/2003/instance" w:element="measure">
                  <w:r>
                    <w:rPr>
                      <w:rFonts w:eastAsia="Times New Roman"/>
                      <w:vanish/>
                      <w:sz w:val="20"/>
                      <w:szCs w:val="20"/>
                    </w:rPr>
                    <w:t>iso4217:USD</w:t>
                  </w:r>
                </w:customXml>
              </w:customXml>
              <w:customXml w:uri="http://www.xbrl.org/2003/instance" w:element="unitDenominator">
                <w:customXml w:uri="http://www.xbrl.org/2003/instance" w:element="measure">
                  <w:r>
                    <w:rPr>
                      <w:rFonts w:eastAsia="Times New Roman"/>
                      <w:vanish/>
                      <w:sz w:val="20"/>
                      <w:szCs w:val="20"/>
                    </w:rPr>
                    <w:t>xbrli:shares</w:t>
                  </w:r>
                </w:customXml>
              </w:customXml>
            </w:customXml>
          </w:customXml>
        </w:customXml>
      </w:customXml>
    </w:p>
    <w:p w:rsidR="00000000" w:rsidRDefault="00125B34">
      <w:pPr>
        <w:pStyle w:val="NormalWeb"/>
        <w:spacing w:before="0" w:beforeAutospacing="0" w:after="0" w:afterAutospacing="0"/>
        <w:jc w:val="both"/>
        <w:divId w:val="630746744"/>
        <w:rPr>
          <w:sz w:val="20"/>
          <w:szCs w:val="20"/>
        </w:rPr>
      </w:pPr>
      <w:r>
        <w:rPr>
          <w:sz w:val="20"/>
          <w:szCs w:val="2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0000">
        <w:trPr>
          <w:divId w:val="630746744"/>
          <w:tblCellSpacing w:w="15" w:type="dxa"/>
        </w:trPr>
        <w:tc>
          <w:tcPr>
            <w:tcW w:w="0" w:type="auto"/>
            <w:tcBorders>
              <w:bottom w:val="single" w:sz="36" w:space="0" w:color="auto"/>
            </w:tcBorders>
            <w:vAlign w:val="center"/>
            <w:hideMark/>
          </w:tcPr>
          <w:p w:rsidR="00000000" w:rsidRDefault="00125B34">
            <w:pPr>
              <w:rPr>
                <w:rFonts w:eastAsia="Times New Roman"/>
                <w:sz w:val="2"/>
                <w:szCs w:val="2"/>
              </w:rPr>
            </w:pPr>
          </w:p>
        </w:tc>
      </w:tr>
      <w:tr w:rsidR="00000000">
        <w:trPr>
          <w:divId w:val="630746744"/>
          <w:tblCellSpacing w:w="15" w:type="dxa"/>
        </w:trPr>
        <w:tc>
          <w:tcPr>
            <w:tcW w:w="0" w:type="auto"/>
            <w:tcBorders>
              <w:bottom w:val="single" w:sz="12" w:space="0" w:color="auto"/>
            </w:tcBorders>
            <w:vAlign w:val="center"/>
            <w:hideMark/>
          </w:tcPr>
          <w:p w:rsidR="00000000" w:rsidRDefault="00125B34">
            <w:pPr>
              <w:rPr>
                <w:rFonts w:eastAsia="Times New Roman"/>
                <w:sz w:val="2"/>
                <w:szCs w:val="2"/>
              </w:rPr>
            </w:pPr>
          </w:p>
        </w:tc>
      </w:tr>
    </w:tbl>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center"/>
        <w:divId w:val="630746744"/>
        <w:rPr>
          <w:sz w:val="20"/>
          <w:szCs w:val="20"/>
        </w:rPr>
      </w:pPr>
      <w:r>
        <w:rPr>
          <w:rStyle w:val="Strong"/>
          <w:sz w:val="20"/>
          <w:szCs w:val="20"/>
        </w:rPr>
        <w:t>UNITED STATES</w:t>
      </w:r>
    </w:p>
    <w:p w:rsidR="00000000" w:rsidRDefault="00125B34">
      <w:pPr>
        <w:pStyle w:val="NormalWeb"/>
        <w:spacing w:before="0" w:beforeAutospacing="0" w:after="0" w:afterAutospacing="0"/>
        <w:jc w:val="center"/>
        <w:divId w:val="630746744"/>
        <w:rPr>
          <w:sz w:val="20"/>
          <w:szCs w:val="20"/>
        </w:rPr>
      </w:pPr>
      <w:r>
        <w:rPr>
          <w:rStyle w:val="Strong"/>
          <w:sz w:val="20"/>
          <w:szCs w:val="20"/>
        </w:rPr>
        <w:t>SECURITIES AND EXCHANGE COMMISSION</w:t>
      </w:r>
    </w:p>
    <w:p w:rsidR="00000000" w:rsidRDefault="00125B34">
      <w:pPr>
        <w:pStyle w:val="NormalWeb"/>
        <w:spacing w:before="0" w:beforeAutospacing="0" w:after="0" w:afterAutospacing="0"/>
        <w:jc w:val="center"/>
        <w:divId w:val="630746744"/>
        <w:rPr>
          <w:sz w:val="20"/>
          <w:szCs w:val="20"/>
        </w:rPr>
      </w:pPr>
      <w:r>
        <w:rPr>
          <w:rStyle w:val="Strong"/>
          <w:sz w:val="20"/>
          <w:szCs w:val="20"/>
        </w:rPr>
        <w:t>Washington, D.C. 20549</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center"/>
        <w:divId w:val="630746744"/>
        <w:rPr>
          <w:sz w:val="20"/>
          <w:szCs w:val="20"/>
        </w:rPr>
      </w:pPr>
      <w:r>
        <w:rPr>
          <w:rStyle w:val="Strong"/>
          <w:sz w:val="36"/>
          <w:szCs w:val="36"/>
        </w:rPr>
        <w:lastRenderedPageBreak/>
        <w:t xml:space="preserve">FORM </w:t>
      </w:r>
      <w:customXml w:uri="http://www.xbrl.org/2013/inlineXBRL" w:element="nonNumeric">
        <w:customXmlPr>
          <w:attr w:name="contextRef" w:val="From2025-02-27to2025-02-27"/>
          <w:attr w:name="name" w:val="dei:DocumentType"/>
        </w:customXmlPr>
        <w:r>
          <w:rPr>
            <w:rStyle w:val="Strong"/>
            <w:sz w:val="36"/>
            <w:szCs w:val="36"/>
          </w:rPr>
          <w:t>8-K</w:t>
        </w:r>
      </w:customXml>
    </w:p>
    <w:p w:rsidR="00000000" w:rsidRDefault="00125B34">
      <w:pPr>
        <w:pStyle w:val="NormalWeb"/>
        <w:spacing w:before="0" w:beforeAutospacing="0" w:after="0" w:afterAutospacing="0"/>
        <w:jc w:val="center"/>
        <w:divId w:val="630746744"/>
        <w:rPr>
          <w:sz w:val="20"/>
          <w:szCs w:val="20"/>
        </w:rPr>
      </w:pPr>
      <w:r>
        <w:rPr>
          <w:sz w:val="20"/>
          <w:szCs w:val="20"/>
        </w:rPr>
        <w:t> </w:t>
      </w:r>
    </w:p>
    <w:p w:rsidR="00000000" w:rsidRDefault="00125B34">
      <w:pPr>
        <w:pStyle w:val="NormalWeb"/>
        <w:spacing w:before="0" w:beforeAutospacing="0" w:after="0" w:afterAutospacing="0"/>
        <w:jc w:val="center"/>
        <w:divId w:val="630746744"/>
        <w:rPr>
          <w:sz w:val="20"/>
          <w:szCs w:val="20"/>
        </w:rPr>
      </w:pPr>
      <w:r>
        <w:rPr>
          <w:rStyle w:val="Strong"/>
          <w:sz w:val="20"/>
          <w:szCs w:val="20"/>
        </w:rPr>
        <w:t>CURRENT REPORT</w:t>
      </w:r>
    </w:p>
    <w:p w:rsidR="00000000" w:rsidRDefault="00125B34">
      <w:pPr>
        <w:pStyle w:val="NormalWeb"/>
        <w:spacing w:before="0" w:beforeAutospacing="0" w:after="0" w:afterAutospacing="0"/>
        <w:jc w:val="center"/>
        <w:divId w:val="630746744"/>
        <w:rPr>
          <w:sz w:val="20"/>
          <w:szCs w:val="20"/>
        </w:rPr>
      </w:pPr>
      <w:r>
        <w:rPr>
          <w:rStyle w:val="Strong"/>
          <w:sz w:val="20"/>
          <w:szCs w:val="20"/>
        </w:rPr>
        <w:t>PURSUANT TO SECTION 13 OR 15(D)</w:t>
      </w:r>
    </w:p>
    <w:p w:rsidR="00000000" w:rsidRDefault="00125B34">
      <w:pPr>
        <w:pStyle w:val="NormalWeb"/>
        <w:spacing w:before="0" w:beforeAutospacing="0" w:after="0" w:afterAutospacing="0"/>
        <w:jc w:val="center"/>
        <w:divId w:val="630746744"/>
        <w:rPr>
          <w:sz w:val="20"/>
          <w:szCs w:val="20"/>
        </w:rPr>
      </w:pPr>
      <w:r>
        <w:rPr>
          <w:rStyle w:val="Strong"/>
          <w:sz w:val="20"/>
          <w:szCs w:val="20"/>
        </w:rPr>
        <w:t>OF THE SECURITIES EXCHANGE ACT OF 1934</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center"/>
        <w:divId w:val="630746744"/>
        <w:rPr>
          <w:sz w:val="20"/>
          <w:szCs w:val="20"/>
        </w:rPr>
      </w:pPr>
      <w:r>
        <w:rPr>
          <w:rStyle w:val="Strong"/>
          <w:sz w:val="20"/>
          <w:szCs w:val="20"/>
        </w:rPr>
        <w:t xml:space="preserve">Date of Report (Date of earliest event reported): </w:t>
      </w:r>
      <w:customXml w:uri="http://www.xbrl.org/2013/inlineXBRL" w:element="nonNumeric">
        <w:customXmlPr>
          <w:attr w:name="contextRef" w:val="From2025-02-27to2025-02-27"/>
          <w:attr w:name="name" w:val="dei:DocumentPeriodEndDate"/>
          <w:attr w:name="format" w:val="ixt:datemonthdayyearen"/>
        </w:customXmlPr>
        <w:r>
          <w:rPr>
            <w:rStyle w:val="Strong"/>
            <w:sz w:val="20"/>
            <w:szCs w:val="20"/>
          </w:rPr>
          <w:t>February 27, 2025</w:t>
        </w:r>
      </w:customXml>
    </w:p>
    <w:p w:rsidR="00000000" w:rsidRDefault="00125B34">
      <w:pPr>
        <w:pStyle w:val="NormalWeb"/>
        <w:spacing w:before="0" w:beforeAutospacing="0" w:after="0" w:afterAutospacing="0"/>
        <w:jc w:val="center"/>
        <w:divId w:val="630746744"/>
        <w:rPr>
          <w:sz w:val="20"/>
          <w:szCs w:val="20"/>
        </w:rPr>
      </w:pPr>
      <w:r>
        <w:rPr>
          <w:sz w:val="20"/>
          <w:szCs w:val="20"/>
        </w:rPr>
        <w:t> </w:t>
      </w:r>
    </w:p>
    <w:tbl>
      <w:tblPr>
        <w:tblW w:w="3000" w:type="pct"/>
        <w:tblCellSpacing w:w="15" w:type="dxa"/>
        <w:tblCellMar>
          <w:left w:w="0" w:type="dxa"/>
          <w:right w:w="0" w:type="dxa"/>
        </w:tblCellMar>
        <w:tblLook w:val="04A0" w:firstRow="1" w:lastRow="0" w:firstColumn="1" w:lastColumn="0" w:noHBand="0" w:noVBand="1"/>
      </w:tblPr>
      <w:tblGrid>
        <w:gridCol w:w="5652"/>
      </w:tblGrid>
      <w:tr w:rsidR="00000000">
        <w:trPr>
          <w:divId w:val="630746744"/>
          <w:trHeight w:val="225"/>
          <w:tblCellSpacing w:w="15" w:type="dxa"/>
        </w:trPr>
        <w:tc>
          <w:tcPr>
            <w:tcW w:w="0" w:type="auto"/>
            <w:tcBorders>
              <w:bottom w:val="single" w:sz="6" w:space="0" w:color="000000"/>
            </w:tcBorders>
            <w:vAlign w:val="center"/>
            <w:hideMark/>
          </w:tcPr>
          <w:p w:rsidR="00000000" w:rsidRDefault="00125B34">
            <w:pPr>
              <w:pStyle w:val="NormalWeb"/>
              <w:spacing w:before="0" w:beforeAutospacing="0" w:after="0" w:afterAutospacing="0"/>
              <w:jc w:val="center"/>
              <w:rPr>
                <w:sz w:val="20"/>
                <w:szCs w:val="20"/>
              </w:rPr>
            </w:pPr>
            <w:customXml w:uri="http://www.xbrl.org/2013/inlineXBRL" w:element="nonNumeric">
              <w:customXmlPr>
                <w:attr w:name="contextRef" w:val="From2025-02-27to2025-02-27"/>
                <w:attr w:name="name" w:val="dei:EntityRegistrantName"/>
              </w:customXmlPr>
              <w:r>
                <w:rPr>
                  <w:rStyle w:val="Strong"/>
                  <w:sz w:val="36"/>
                  <w:szCs w:val="36"/>
                </w:rPr>
                <w:t>Via Renewables, Inc.</w:t>
              </w:r>
            </w:customXml>
          </w:p>
        </w:tc>
      </w:tr>
      <w:tr w:rsidR="00000000">
        <w:trPr>
          <w:divId w:val="630746744"/>
          <w:trHeight w:val="225"/>
          <w:tblCellSpacing w:w="15" w:type="dxa"/>
        </w:trPr>
        <w:tc>
          <w:tcPr>
            <w:tcW w:w="0" w:type="auto"/>
            <w:vAlign w:val="center"/>
            <w:hideMark/>
          </w:tcPr>
          <w:p w:rsidR="00000000" w:rsidRDefault="00125B34">
            <w:pPr>
              <w:pStyle w:val="NormalWeb"/>
              <w:spacing w:before="0" w:beforeAutospacing="0" w:after="0" w:afterAutospacing="0"/>
              <w:jc w:val="center"/>
              <w:rPr>
                <w:sz w:val="20"/>
                <w:szCs w:val="20"/>
              </w:rPr>
            </w:pPr>
            <w:r>
              <w:rPr>
                <w:rStyle w:val="Strong"/>
                <w:sz w:val="20"/>
                <w:szCs w:val="20"/>
              </w:rPr>
              <w:t>(Exact Name of Registrant as Specified in its Charter)</w:t>
            </w:r>
          </w:p>
        </w:tc>
      </w:tr>
    </w:tbl>
    <w:p w:rsidR="00000000" w:rsidRDefault="00125B34">
      <w:pPr>
        <w:pStyle w:val="NormalWeb"/>
        <w:spacing w:before="0" w:beforeAutospacing="0" w:after="0" w:afterAutospacing="0"/>
        <w:jc w:val="both"/>
        <w:divId w:val="630746744"/>
        <w:rPr>
          <w:sz w:val="20"/>
          <w:szCs w:val="20"/>
        </w:rPr>
      </w:pPr>
      <w:r>
        <w:rPr>
          <w:sz w:val="20"/>
          <w:szCs w:val="20"/>
        </w:rPr>
        <w:t xml:space="preserve">  </w:t>
      </w:r>
    </w:p>
    <w:tbl>
      <w:tblPr>
        <w:tblW w:w="4250" w:type="pct"/>
        <w:tblCellSpacing w:w="15" w:type="dxa"/>
        <w:tblCellMar>
          <w:left w:w="0" w:type="dxa"/>
          <w:right w:w="0" w:type="dxa"/>
        </w:tblCellMar>
        <w:tblLook w:val="04A0" w:firstRow="1" w:lastRow="0" w:firstColumn="1" w:lastColumn="0" w:noHBand="0" w:noVBand="1"/>
      </w:tblPr>
      <w:tblGrid>
        <w:gridCol w:w="2549"/>
        <w:gridCol w:w="186"/>
        <w:gridCol w:w="2535"/>
        <w:gridCol w:w="187"/>
        <w:gridCol w:w="2550"/>
      </w:tblGrid>
      <w:tr w:rsidR="00000000">
        <w:trPr>
          <w:divId w:val="630746744"/>
          <w:trHeight w:val="225"/>
          <w:tblCellSpacing w:w="15" w:type="dxa"/>
        </w:trPr>
        <w:tc>
          <w:tcPr>
            <w:tcW w:w="1600" w:type="pct"/>
            <w:tcBorders>
              <w:bottom w:val="single" w:sz="6" w:space="0" w:color="000000"/>
            </w:tcBorders>
            <w:hideMark/>
          </w:tcPr>
          <w:p w:rsidR="00000000" w:rsidRDefault="00125B34">
            <w:pPr>
              <w:pStyle w:val="NormalWeb"/>
              <w:spacing w:before="0" w:beforeAutospacing="0" w:after="0" w:afterAutospacing="0"/>
              <w:jc w:val="center"/>
              <w:rPr>
                <w:sz w:val="20"/>
                <w:szCs w:val="20"/>
              </w:rPr>
            </w:pPr>
            <w:customXml w:uri="http://www.xbrl.org/2013/inlineXBRL" w:element="nonNumeric">
              <w:customXmlPr>
                <w:attr w:name="contextRef" w:val="From2025-02-27to2025-02-27"/>
                <w:attr w:name="name" w:val="dei:EntityIncorporationStateCountryCode"/>
                <w:attr w:name="format" w:val="ixt-sec:stateprovnameen"/>
              </w:customXmlPr>
              <w:r>
                <w:rPr>
                  <w:rStyle w:val="Strong"/>
                  <w:sz w:val="20"/>
                  <w:szCs w:val="20"/>
                </w:rPr>
                <w:t>Delaware</w:t>
              </w:r>
            </w:customXml>
          </w:p>
        </w:tc>
        <w:tc>
          <w:tcPr>
            <w:tcW w:w="100" w:type="pct"/>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1600" w:type="pct"/>
            <w:tcBorders>
              <w:bottom w:val="single" w:sz="6" w:space="0" w:color="000000"/>
            </w:tcBorders>
            <w:hideMark/>
          </w:tcPr>
          <w:p w:rsidR="00000000" w:rsidRDefault="00125B34">
            <w:pPr>
              <w:pStyle w:val="NormalWeb"/>
              <w:spacing w:before="0" w:beforeAutospacing="0" w:after="0" w:afterAutospacing="0"/>
              <w:jc w:val="center"/>
              <w:rPr>
                <w:sz w:val="20"/>
                <w:szCs w:val="20"/>
              </w:rPr>
            </w:pPr>
            <w:customXml w:uri="http://www.xbrl.org/2013/inlineXBRL" w:element="nonNumeric">
              <w:customXmlPr>
                <w:attr w:name="contextRef" w:val="From2025-02-27to2025-02-27"/>
                <w:attr w:name="name" w:val="dei:EntityFileNumber"/>
              </w:customXmlPr>
              <w:r>
                <w:rPr>
                  <w:rStyle w:val="Strong"/>
                  <w:sz w:val="20"/>
                  <w:szCs w:val="20"/>
                </w:rPr>
                <w:t>001-36559</w:t>
              </w:r>
            </w:customXml>
          </w:p>
        </w:tc>
        <w:tc>
          <w:tcPr>
            <w:tcW w:w="100" w:type="pct"/>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1600" w:type="pct"/>
            <w:tcBorders>
              <w:bottom w:val="single" w:sz="6" w:space="0" w:color="000000"/>
            </w:tcBorders>
            <w:hideMark/>
          </w:tcPr>
          <w:p w:rsidR="00000000" w:rsidRDefault="00125B34">
            <w:pPr>
              <w:pStyle w:val="NormalWeb"/>
              <w:spacing w:before="0" w:beforeAutospacing="0" w:after="0" w:afterAutospacing="0"/>
              <w:ind w:left="67"/>
              <w:jc w:val="center"/>
              <w:rPr>
                <w:sz w:val="20"/>
                <w:szCs w:val="20"/>
              </w:rPr>
            </w:pPr>
            <w:customXml w:uri="http://www.xbrl.org/2013/inlineXBRL" w:element="nonNumeric">
              <w:customXmlPr>
                <w:attr w:name="contextRef" w:val="From2025-02-27to2025-02-27"/>
                <w:attr w:name="name" w:val="dei:EntityTaxIdentificationNumber"/>
              </w:customXmlPr>
              <w:r>
                <w:rPr>
                  <w:rStyle w:val="Strong"/>
                  <w:sz w:val="20"/>
                  <w:szCs w:val="20"/>
                </w:rPr>
                <w:t>46-5453215</w:t>
              </w:r>
            </w:customXml>
          </w:p>
        </w:tc>
      </w:tr>
      <w:tr w:rsidR="00000000">
        <w:trPr>
          <w:divId w:val="630746744"/>
          <w:trHeight w:val="225"/>
          <w:tblCellSpacing w:w="15" w:type="dxa"/>
        </w:trPr>
        <w:tc>
          <w:tcPr>
            <w:tcW w:w="0" w:type="auto"/>
            <w:vAlign w:val="center"/>
            <w:hideMark/>
          </w:tcPr>
          <w:p w:rsidR="00000000" w:rsidRDefault="00125B34">
            <w:pPr>
              <w:pStyle w:val="NormalWeb"/>
              <w:spacing w:before="0" w:beforeAutospacing="0" w:after="0" w:afterAutospacing="0"/>
              <w:jc w:val="center"/>
              <w:rPr>
                <w:sz w:val="20"/>
                <w:szCs w:val="20"/>
              </w:rPr>
            </w:pPr>
            <w:r>
              <w:rPr>
                <w:rStyle w:val="Strong"/>
                <w:sz w:val="20"/>
                <w:szCs w:val="20"/>
              </w:rPr>
              <w:t xml:space="preserve">(State or Other Jurisdiction </w:t>
            </w:r>
          </w:p>
          <w:p w:rsidR="00000000" w:rsidRDefault="00125B34">
            <w:pPr>
              <w:pStyle w:val="NormalWeb"/>
              <w:spacing w:before="0" w:beforeAutospacing="0" w:after="0" w:afterAutospacing="0"/>
              <w:jc w:val="center"/>
              <w:rPr>
                <w:sz w:val="20"/>
                <w:szCs w:val="20"/>
              </w:rPr>
            </w:pPr>
            <w:r>
              <w:rPr>
                <w:rStyle w:val="Strong"/>
                <w:sz w:val="20"/>
                <w:szCs w:val="20"/>
              </w:rPr>
              <w:t>of Incorporation)</w:t>
            </w:r>
          </w:p>
        </w:tc>
        <w:tc>
          <w:tcPr>
            <w:tcW w:w="0" w:type="auto"/>
            <w:vAlign w:val="center"/>
            <w:hideMark/>
          </w:tcPr>
          <w:p w:rsidR="00000000" w:rsidRDefault="00125B34">
            <w:pPr>
              <w:pStyle w:val="NormalWeb"/>
              <w:spacing w:before="0" w:beforeAutospacing="0" w:after="0" w:afterAutospacing="0"/>
              <w:jc w:val="center"/>
              <w:rPr>
                <w:sz w:val="20"/>
                <w:szCs w:val="20"/>
              </w:rPr>
            </w:pPr>
            <w:r>
              <w:rPr>
                <w:sz w:val="20"/>
                <w:szCs w:val="20"/>
              </w:rPr>
              <w:t> </w:t>
            </w:r>
          </w:p>
        </w:tc>
        <w:tc>
          <w:tcPr>
            <w:tcW w:w="0" w:type="auto"/>
            <w:vAlign w:val="center"/>
            <w:hideMark/>
          </w:tcPr>
          <w:p w:rsidR="00000000" w:rsidRDefault="00125B34">
            <w:pPr>
              <w:pStyle w:val="NormalWeb"/>
              <w:spacing w:before="0" w:beforeAutospacing="0" w:after="0" w:afterAutospacing="0"/>
              <w:jc w:val="center"/>
              <w:rPr>
                <w:sz w:val="20"/>
                <w:szCs w:val="20"/>
              </w:rPr>
            </w:pPr>
            <w:r>
              <w:rPr>
                <w:rStyle w:val="Strong"/>
                <w:sz w:val="20"/>
                <w:szCs w:val="20"/>
              </w:rPr>
              <w:t xml:space="preserve">(Commission </w:t>
            </w:r>
          </w:p>
          <w:p w:rsidR="00000000" w:rsidRDefault="00125B34">
            <w:pPr>
              <w:pStyle w:val="NormalWeb"/>
              <w:spacing w:before="0" w:beforeAutospacing="0" w:after="0" w:afterAutospacing="0"/>
              <w:jc w:val="center"/>
              <w:rPr>
                <w:sz w:val="20"/>
                <w:szCs w:val="20"/>
              </w:rPr>
            </w:pPr>
            <w:r>
              <w:rPr>
                <w:rStyle w:val="Strong"/>
                <w:sz w:val="20"/>
                <w:szCs w:val="20"/>
              </w:rPr>
              <w:t>File Number)</w:t>
            </w:r>
          </w:p>
        </w:tc>
        <w:tc>
          <w:tcPr>
            <w:tcW w:w="0" w:type="auto"/>
            <w:vAlign w:val="center"/>
            <w:hideMark/>
          </w:tcPr>
          <w:p w:rsidR="00000000" w:rsidRDefault="00125B34">
            <w:pPr>
              <w:pStyle w:val="NormalWeb"/>
              <w:spacing w:before="0" w:beforeAutospacing="0" w:after="0" w:afterAutospacing="0"/>
              <w:jc w:val="center"/>
              <w:rPr>
                <w:sz w:val="20"/>
                <w:szCs w:val="20"/>
              </w:rPr>
            </w:pPr>
            <w:r>
              <w:rPr>
                <w:sz w:val="20"/>
                <w:szCs w:val="20"/>
              </w:rPr>
              <w:t> </w:t>
            </w:r>
          </w:p>
        </w:tc>
        <w:tc>
          <w:tcPr>
            <w:tcW w:w="0" w:type="auto"/>
            <w:vAlign w:val="center"/>
            <w:hideMark/>
          </w:tcPr>
          <w:p w:rsidR="00000000" w:rsidRDefault="00125B34">
            <w:pPr>
              <w:pStyle w:val="NormalWeb"/>
              <w:spacing w:before="0" w:beforeAutospacing="0" w:after="0" w:afterAutospacing="0"/>
              <w:jc w:val="center"/>
              <w:rPr>
                <w:sz w:val="20"/>
                <w:szCs w:val="20"/>
              </w:rPr>
            </w:pPr>
            <w:r>
              <w:rPr>
                <w:rStyle w:val="Strong"/>
                <w:sz w:val="20"/>
                <w:szCs w:val="20"/>
              </w:rPr>
              <w:t xml:space="preserve">(IRS Employer </w:t>
            </w:r>
          </w:p>
          <w:p w:rsidR="00000000" w:rsidRDefault="00125B34">
            <w:pPr>
              <w:pStyle w:val="NormalWeb"/>
              <w:spacing w:before="0" w:beforeAutospacing="0" w:after="0" w:afterAutospacing="0"/>
              <w:jc w:val="center"/>
              <w:rPr>
                <w:sz w:val="20"/>
                <w:szCs w:val="20"/>
              </w:rPr>
            </w:pPr>
            <w:r>
              <w:rPr>
                <w:rStyle w:val="Strong"/>
                <w:sz w:val="20"/>
                <w:szCs w:val="20"/>
              </w:rPr>
              <w:t>Identification Number)</w:t>
            </w:r>
          </w:p>
        </w:tc>
      </w:tr>
    </w:tbl>
    <w:p w:rsidR="00000000" w:rsidRDefault="00125B34">
      <w:pPr>
        <w:pStyle w:val="NormalWeb"/>
        <w:spacing w:before="0" w:beforeAutospacing="0" w:after="0" w:afterAutospacing="0"/>
        <w:jc w:val="both"/>
        <w:divId w:val="630746744"/>
        <w:rPr>
          <w:sz w:val="20"/>
          <w:szCs w:val="20"/>
        </w:rPr>
      </w:pPr>
      <w:r>
        <w:rPr>
          <w:sz w:val="20"/>
          <w:szCs w:val="20"/>
        </w:rPr>
        <w:t xml:space="preserve">  </w:t>
      </w:r>
    </w:p>
    <w:p w:rsidR="00000000" w:rsidRDefault="00125B34">
      <w:pPr>
        <w:pStyle w:val="NormalWeb"/>
        <w:spacing w:before="0" w:beforeAutospacing="0" w:after="0" w:afterAutospacing="0"/>
        <w:jc w:val="center"/>
        <w:divId w:val="630746744"/>
        <w:rPr>
          <w:sz w:val="20"/>
          <w:szCs w:val="20"/>
        </w:rPr>
      </w:pPr>
      <w:customXml w:uri="http://www.xbrl.org/2013/inlineXBRL" w:element="nonNumeric">
        <w:customXmlPr>
          <w:attr w:name="contextRef" w:val="From2025-02-27to2025-02-27"/>
          <w:attr w:name="name" w:val="dei:EntityAddressAddressLine1"/>
        </w:customXmlPr>
        <w:r>
          <w:rPr>
            <w:rStyle w:val="Strong"/>
            <w:sz w:val="20"/>
            <w:szCs w:val="20"/>
          </w:rPr>
          <w:t>12140 Wickchester Ln</w:t>
        </w:r>
      </w:customXml>
      <w:r>
        <w:rPr>
          <w:rStyle w:val="Strong"/>
          <w:sz w:val="20"/>
          <w:szCs w:val="20"/>
        </w:rPr>
        <w:t xml:space="preserve">, </w:t>
      </w:r>
      <w:customXml w:uri="http://www.xbrl.org/2013/inlineXBRL" w:element="nonNumeric">
        <w:customXmlPr>
          <w:attr w:name="contextRef" w:val="From2025-02-27to2025-02-27"/>
          <w:attr w:name="name" w:val="dei:EntityAddressAddressLine2"/>
        </w:customXmlPr>
        <w:r>
          <w:rPr>
            <w:rStyle w:val="Strong"/>
            <w:sz w:val="20"/>
            <w:szCs w:val="20"/>
          </w:rPr>
          <w:t>Ste 100</w:t>
        </w:r>
      </w:customXml>
    </w:p>
    <w:p w:rsidR="00000000" w:rsidRDefault="00125B34">
      <w:pPr>
        <w:pStyle w:val="NormalWeb"/>
        <w:spacing w:before="0" w:beforeAutospacing="0" w:after="0" w:afterAutospacing="0"/>
        <w:jc w:val="center"/>
        <w:divId w:val="630746744"/>
        <w:rPr>
          <w:sz w:val="20"/>
          <w:szCs w:val="20"/>
        </w:rPr>
      </w:pPr>
      <w:customXml w:uri="http://www.xbrl.org/2013/inlineXBRL" w:element="nonNumeric">
        <w:customXmlPr>
          <w:attr w:name="contextRef" w:val="From2025-02-27to2025-02-27"/>
          <w:attr w:name="name" w:val="dei:EntityAddressCityOrTown"/>
        </w:customXmlPr>
        <w:r>
          <w:rPr>
            <w:rStyle w:val="Strong"/>
            <w:sz w:val="20"/>
            <w:szCs w:val="20"/>
          </w:rPr>
          <w:t>Houston</w:t>
        </w:r>
      </w:customXml>
      <w:r>
        <w:rPr>
          <w:rStyle w:val="Strong"/>
          <w:sz w:val="20"/>
          <w:szCs w:val="20"/>
        </w:rPr>
        <w:t xml:space="preserve">, </w:t>
      </w:r>
      <w:customXml w:uri="http://www.xbrl.org/2013/inlineXBRL" w:element="nonNumeric">
        <w:customXmlPr>
          <w:attr w:name="contextRef" w:val="From2025-02-27to2025-02-27"/>
          <w:attr w:name="name" w:val="dei:EntityAddressStateOrProvince"/>
          <w:attr w:name="format" w:val="ixt-sec:stateprovnameen"/>
        </w:customXmlPr>
        <w:r>
          <w:rPr>
            <w:rStyle w:val="Strong"/>
            <w:sz w:val="20"/>
            <w:szCs w:val="20"/>
          </w:rPr>
          <w:t>Texas</w:t>
        </w:r>
      </w:customXml>
      <w:r>
        <w:rPr>
          <w:rStyle w:val="Strong"/>
          <w:sz w:val="20"/>
          <w:szCs w:val="20"/>
        </w:rPr>
        <w:t xml:space="preserve"> </w:t>
      </w:r>
      <w:customXml w:uri="http://www.xbrl.org/2013/inlineXBRL" w:element="nonNumeric">
        <w:customXmlPr>
          <w:attr w:name="contextRef" w:val="From2025-02-27to2025-02-27"/>
          <w:attr w:name="name" w:val="dei:EntityAddressPostalZipCode"/>
        </w:customXmlPr>
        <w:r>
          <w:rPr>
            <w:rStyle w:val="Strong"/>
            <w:sz w:val="20"/>
            <w:szCs w:val="20"/>
          </w:rPr>
          <w:t>77079</w:t>
        </w:r>
      </w:customXml>
    </w:p>
    <w:p w:rsidR="00000000" w:rsidRDefault="00125B34">
      <w:pPr>
        <w:pStyle w:val="NormalWeb"/>
        <w:spacing w:before="0" w:beforeAutospacing="0" w:after="0" w:afterAutospacing="0"/>
        <w:jc w:val="center"/>
        <w:divId w:val="630746744"/>
        <w:rPr>
          <w:sz w:val="20"/>
          <w:szCs w:val="20"/>
        </w:rPr>
      </w:pPr>
      <w:r>
        <w:rPr>
          <w:rStyle w:val="Strong"/>
          <w:sz w:val="20"/>
          <w:szCs w:val="20"/>
        </w:rPr>
        <w:t>(Address of Principal Executive Offices)</w:t>
      </w:r>
    </w:p>
    <w:p w:rsidR="00000000" w:rsidRDefault="00125B34">
      <w:pPr>
        <w:pStyle w:val="NormalWeb"/>
        <w:spacing w:before="0" w:beforeAutospacing="0" w:after="0" w:afterAutospacing="0"/>
        <w:jc w:val="center"/>
        <w:divId w:val="630746744"/>
        <w:rPr>
          <w:sz w:val="20"/>
          <w:szCs w:val="20"/>
        </w:rPr>
      </w:pPr>
      <w:r>
        <w:rPr>
          <w:rStyle w:val="Strong"/>
          <w:sz w:val="20"/>
          <w:szCs w:val="20"/>
        </w:rPr>
        <w:t>(Zip Code)</w:t>
      </w:r>
    </w:p>
    <w:p w:rsidR="00000000" w:rsidRDefault="00125B34">
      <w:pPr>
        <w:pStyle w:val="NormalWeb"/>
        <w:spacing w:before="0" w:beforeAutospacing="0" w:after="0" w:afterAutospacing="0"/>
        <w:jc w:val="center"/>
        <w:divId w:val="630746744"/>
        <w:rPr>
          <w:sz w:val="20"/>
          <w:szCs w:val="20"/>
        </w:rPr>
      </w:pPr>
      <w:r>
        <w:rPr>
          <w:sz w:val="20"/>
          <w:szCs w:val="20"/>
        </w:rPr>
        <w:t> </w:t>
      </w:r>
    </w:p>
    <w:p w:rsidR="00000000" w:rsidRDefault="00125B34">
      <w:pPr>
        <w:pStyle w:val="NormalWeb"/>
        <w:spacing w:before="0" w:beforeAutospacing="0" w:after="0" w:afterAutospacing="0"/>
        <w:jc w:val="center"/>
        <w:divId w:val="630746744"/>
        <w:rPr>
          <w:sz w:val="20"/>
          <w:szCs w:val="20"/>
        </w:rPr>
      </w:pPr>
      <w:r>
        <w:rPr>
          <w:rStyle w:val="Strong"/>
          <w:sz w:val="20"/>
          <w:szCs w:val="20"/>
        </w:rPr>
        <w:t>(</w:t>
      </w:r>
      <w:customXml w:uri="http://www.xbrl.org/2013/inlineXBRL" w:element="nonNumeric">
        <w:customXmlPr>
          <w:attr w:name="contextRef" w:val="From2025-02-27to2025-02-27"/>
          <w:attr w:name="name" w:val="dei:CityAreaCode"/>
        </w:customXmlPr>
        <w:r>
          <w:rPr>
            <w:rStyle w:val="Strong"/>
            <w:sz w:val="20"/>
            <w:szCs w:val="20"/>
          </w:rPr>
          <w:t>713</w:t>
        </w:r>
      </w:customXml>
      <w:r>
        <w:rPr>
          <w:rStyle w:val="Strong"/>
          <w:sz w:val="20"/>
          <w:szCs w:val="20"/>
        </w:rPr>
        <w:t xml:space="preserve">) </w:t>
      </w:r>
      <w:customXml w:uri="http://www.xbrl.org/2013/inlineXBRL" w:element="nonNumeric">
        <w:customXmlPr>
          <w:attr w:name="contextRef" w:val="From2025-02-27to2025-02-27"/>
          <w:attr w:name="name" w:val="dei:LocalPhoneNumber"/>
        </w:customXmlPr>
        <w:r>
          <w:rPr>
            <w:rStyle w:val="Strong"/>
            <w:sz w:val="20"/>
            <w:szCs w:val="20"/>
          </w:rPr>
          <w:t>600-2600</w:t>
        </w:r>
      </w:customXml>
    </w:p>
    <w:p w:rsidR="00000000" w:rsidRDefault="00125B34">
      <w:pPr>
        <w:pStyle w:val="NormalWeb"/>
        <w:spacing w:before="0" w:beforeAutospacing="0" w:after="0" w:afterAutospacing="0"/>
        <w:jc w:val="center"/>
        <w:divId w:val="630746744"/>
        <w:rPr>
          <w:sz w:val="20"/>
          <w:szCs w:val="20"/>
        </w:rPr>
      </w:pPr>
      <w:r>
        <w:rPr>
          <w:rStyle w:val="Strong"/>
          <w:sz w:val="20"/>
          <w:szCs w:val="20"/>
        </w:rPr>
        <w:t>(R</w:t>
      </w:r>
      <w:r>
        <w:rPr>
          <w:rStyle w:val="Strong"/>
          <w:sz w:val="20"/>
          <w:szCs w:val="20"/>
        </w:rPr>
        <w:t>egistrant’s Telephone Number, Including Area Code)</w:t>
      </w:r>
    </w:p>
    <w:p w:rsidR="00000000" w:rsidRDefault="00125B34">
      <w:pPr>
        <w:pStyle w:val="NormalWeb"/>
        <w:spacing w:before="0" w:beforeAutospacing="0" w:after="0" w:afterAutospacing="0"/>
        <w:jc w:val="center"/>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sz w:val="20"/>
          <w:szCs w:val="20"/>
        </w:rPr>
        <w:t>Check the appropriate box below if the Form 8-K filing is intended to simultaneously satisfy the filing obligation of the registrant under any of the following provisions:</w:t>
      </w:r>
    </w:p>
    <w:p w:rsidR="00000000" w:rsidRDefault="00125B34">
      <w:pPr>
        <w:pStyle w:val="NormalWeb"/>
        <w:spacing w:before="0" w:beforeAutospacing="0" w:after="0" w:afterAutospacing="0"/>
        <w:jc w:val="both"/>
        <w:divId w:val="63074674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7"/>
        <w:gridCol w:w="402"/>
        <w:gridCol w:w="8601"/>
      </w:tblGrid>
      <w:tr w:rsidR="00000000">
        <w:trPr>
          <w:divId w:val="630746744"/>
          <w:trHeight w:val="225"/>
          <w:tblCellSpacing w:w="15" w:type="dxa"/>
        </w:trPr>
        <w:tc>
          <w:tcPr>
            <w:tcW w:w="200" w:type="pct"/>
            <w:vAlign w:val="center"/>
            <w:hideMark/>
          </w:tcPr>
          <w:p w:rsidR="00000000" w:rsidRDefault="00125B34">
            <w:pPr>
              <w:pStyle w:val="NormalWeb"/>
              <w:spacing w:before="0" w:beforeAutospacing="0" w:after="0" w:afterAutospacing="0"/>
              <w:rPr>
                <w:sz w:val="20"/>
                <w:szCs w:val="20"/>
              </w:rPr>
            </w:pPr>
            <w:r>
              <w:rPr>
                <w:sz w:val="20"/>
                <w:szCs w:val="20"/>
              </w:rPr>
              <w:t> </w:t>
            </w:r>
          </w:p>
        </w:tc>
        <w:tc>
          <w:tcPr>
            <w:tcW w:w="200" w:type="pct"/>
            <w:hideMark/>
          </w:tcPr>
          <w:p w:rsidR="00000000" w:rsidRDefault="00125B34">
            <w:pPr>
              <w:pStyle w:val="NormalWeb"/>
              <w:spacing w:before="0" w:beforeAutospacing="0" w:after="0" w:afterAutospacing="0"/>
              <w:ind w:left="7"/>
              <w:rPr>
                <w:sz w:val="20"/>
                <w:szCs w:val="20"/>
              </w:rPr>
            </w:pPr>
            <w:customXml w:uri="http://www.xbrl.org/2013/inlineXBRL" w:element="nonNumeric">
              <w:customXmlPr>
                <w:attr w:name="contextRef" w:val="From2025-02-27to2025-02-27"/>
                <w:attr w:name="name" w:val="dei:WrittenCommunications"/>
                <w:attr w:name="format" w:val="ixt-sec:boolballotbox"/>
              </w:customXmlPr>
              <w:r>
                <w:rPr>
                  <w:rFonts w:ascii="MS Mincho" w:eastAsia="MS Mincho" w:hAnsi="MS Mincho" w:cs="MS Mincho" w:hint="eastAsia"/>
                  <w:sz w:val="20"/>
                  <w:szCs w:val="20"/>
                </w:rPr>
                <w:t>☐</w:t>
              </w:r>
            </w:customXml>
          </w:p>
        </w:tc>
        <w:tc>
          <w:tcPr>
            <w:tcW w:w="0" w:type="auto"/>
            <w:hideMark/>
          </w:tcPr>
          <w:p w:rsidR="00000000" w:rsidRDefault="00125B34">
            <w:pPr>
              <w:pStyle w:val="NormalWeb"/>
              <w:spacing w:before="0" w:beforeAutospacing="0" w:after="0" w:afterAutospacing="0"/>
              <w:ind w:left="72"/>
              <w:rPr>
                <w:sz w:val="20"/>
                <w:szCs w:val="20"/>
              </w:rPr>
            </w:pPr>
            <w:r>
              <w:rPr>
                <w:sz w:val="20"/>
                <w:szCs w:val="20"/>
              </w:rPr>
              <w:t>Written communications pursuant to Rule 425 under the Securities Act (17 CFR 230.425)</w:t>
            </w:r>
          </w:p>
        </w:tc>
      </w:tr>
      <w:tr w:rsidR="00000000">
        <w:trPr>
          <w:divId w:val="630746744"/>
          <w:trHeight w:val="225"/>
          <w:tblCellSpacing w:w="15" w:type="dxa"/>
        </w:trPr>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125B34">
            <w:pPr>
              <w:pStyle w:val="NormalWeb"/>
              <w:spacing w:before="0" w:beforeAutospacing="0" w:after="0" w:afterAutospacing="0"/>
              <w:ind w:left="7"/>
              <w:rPr>
                <w:sz w:val="20"/>
                <w:szCs w:val="20"/>
              </w:rPr>
            </w:pPr>
            <w:customXml w:uri="http://www.xbrl.org/2013/inlineXBRL" w:element="nonNumeric">
              <w:customXmlPr>
                <w:attr w:name="contextRef" w:val="From2025-02-27to2025-02-27"/>
                <w:attr w:name="name" w:val="dei:SolicitingMaterial"/>
                <w:attr w:name="format" w:val="ixt-sec:boolballotbox"/>
              </w:customXmlPr>
              <w:r>
                <w:rPr>
                  <w:rFonts w:ascii="MS Mincho" w:eastAsia="MS Mincho" w:hAnsi="MS Mincho" w:cs="MS Mincho" w:hint="eastAsia"/>
                  <w:sz w:val="20"/>
                  <w:szCs w:val="20"/>
                </w:rPr>
                <w:t>☐</w:t>
              </w:r>
            </w:customXml>
          </w:p>
        </w:tc>
        <w:tc>
          <w:tcPr>
            <w:tcW w:w="0" w:type="auto"/>
            <w:hideMark/>
          </w:tcPr>
          <w:p w:rsidR="00000000" w:rsidRDefault="00125B34">
            <w:pPr>
              <w:pStyle w:val="NormalWeb"/>
              <w:spacing w:before="0" w:beforeAutospacing="0" w:after="0" w:afterAutospacing="0"/>
              <w:ind w:left="72"/>
              <w:rPr>
                <w:sz w:val="20"/>
                <w:szCs w:val="20"/>
              </w:rPr>
            </w:pPr>
            <w:r>
              <w:rPr>
                <w:sz w:val="20"/>
                <w:szCs w:val="20"/>
              </w:rPr>
              <w:t>Soliciting material pursuant to Rule 14a-12 under the Exchange Act (17 CFR 240.14a-12)</w:t>
            </w:r>
          </w:p>
        </w:tc>
      </w:tr>
      <w:tr w:rsidR="00000000">
        <w:trPr>
          <w:divId w:val="630746744"/>
          <w:trHeight w:val="225"/>
          <w:tblCellSpacing w:w="15" w:type="dxa"/>
        </w:trPr>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125B34">
            <w:pPr>
              <w:pStyle w:val="NormalWeb"/>
              <w:spacing w:before="0" w:beforeAutospacing="0" w:after="0" w:afterAutospacing="0"/>
              <w:ind w:left="7"/>
              <w:rPr>
                <w:sz w:val="20"/>
                <w:szCs w:val="20"/>
              </w:rPr>
            </w:pPr>
            <w:customXml w:uri="http://www.xbrl.org/2013/inlineXBRL" w:element="nonNumeric">
              <w:customXmlPr>
                <w:attr w:name="contextRef" w:val="From2025-02-27to2025-02-27"/>
                <w:attr w:name="name" w:val="dei:PreCommencementTenderOffer"/>
                <w:attr w:name="format" w:val="ixt-sec:boolballotbox"/>
              </w:customXmlPr>
              <w:r>
                <w:rPr>
                  <w:rFonts w:ascii="MS Mincho" w:eastAsia="MS Mincho" w:hAnsi="MS Mincho" w:cs="MS Mincho" w:hint="eastAsia"/>
                  <w:sz w:val="20"/>
                  <w:szCs w:val="20"/>
                </w:rPr>
                <w:t>☐</w:t>
              </w:r>
            </w:customXml>
          </w:p>
        </w:tc>
        <w:tc>
          <w:tcPr>
            <w:tcW w:w="0" w:type="auto"/>
            <w:hideMark/>
          </w:tcPr>
          <w:p w:rsidR="00000000" w:rsidRDefault="00125B34">
            <w:pPr>
              <w:pStyle w:val="NormalWeb"/>
              <w:spacing w:before="0" w:beforeAutospacing="0" w:after="0" w:afterAutospacing="0"/>
              <w:ind w:left="72"/>
              <w:rPr>
                <w:sz w:val="20"/>
                <w:szCs w:val="20"/>
              </w:rPr>
            </w:pPr>
            <w:r>
              <w:rPr>
                <w:sz w:val="20"/>
                <w:szCs w:val="20"/>
              </w:rPr>
              <w:t>Pre-commencement communications pursuant to Rule 14d-2(b) under the Exchange Act (17 CFR 240.14d-2(b))</w:t>
            </w:r>
          </w:p>
        </w:tc>
      </w:tr>
      <w:tr w:rsidR="00000000">
        <w:trPr>
          <w:divId w:val="630746744"/>
          <w:trHeight w:val="225"/>
          <w:tblCellSpacing w:w="15" w:type="dxa"/>
        </w:trPr>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125B34">
            <w:pPr>
              <w:pStyle w:val="NormalWeb"/>
              <w:spacing w:before="0" w:beforeAutospacing="0" w:after="0" w:afterAutospacing="0"/>
              <w:ind w:left="7"/>
              <w:rPr>
                <w:sz w:val="20"/>
                <w:szCs w:val="20"/>
              </w:rPr>
            </w:pPr>
            <w:customXml w:uri="http://www.xbrl.org/2013/inlineXBRL" w:element="nonNumeric">
              <w:customXmlPr>
                <w:attr w:name="contextRef" w:val="From2025-02-27to2025-02-27"/>
                <w:attr w:name="name" w:val="dei:PreCommencementIssuerTenderOffer"/>
                <w:attr w:name="format" w:val="ixt-sec:boolballotbox"/>
              </w:customXmlPr>
              <w:r>
                <w:rPr>
                  <w:rFonts w:ascii="MS Mincho" w:eastAsia="MS Mincho" w:hAnsi="MS Mincho" w:cs="MS Mincho" w:hint="eastAsia"/>
                  <w:sz w:val="20"/>
                  <w:szCs w:val="20"/>
                </w:rPr>
                <w:t>☐</w:t>
              </w:r>
            </w:customXml>
          </w:p>
        </w:tc>
        <w:tc>
          <w:tcPr>
            <w:tcW w:w="0" w:type="auto"/>
            <w:hideMark/>
          </w:tcPr>
          <w:p w:rsidR="00000000" w:rsidRDefault="00125B34">
            <w:pPr>
              <w:pStyle w:val="NormalWeb"/>
              <w:spacing w:before="0" w:beforeAutospacing="0" w:after="0" w:afterAutospacing="0"/>
              <w:ind w:left="72"/>
              <w:rPr>
                <w:sz w:val="20"/>
                <w:szCs w:val="20"/>
              </w:rPr>
            </w:pPr>
            <w:r>
              <w:rPr>
                <w:sz w:val="20"/>
                <w:szCs w:val="20"/>
              </w:rPr>
              <w:t>Pre-commencement communications pursuant to Rule 13e-4(c) under the Exchange Act (17 CFR 240.13e-4(c))</w:t>
            </w:r>
          </w:p>
        </w:tc>
      </w:tr>
    </w:tbl>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ind w:firstLine="675"/>
        <w:jc w:val="both"/>
        <w:divId w:val="630746744"/>
        <w:rPr>
          <w:sz w:val="20"/>
          <w:szCs w:val="20"/>
        </w:rPr>
      </w:pPr>
      <w:r>
        <w:rPr>
          <w:sz w:val="20"/>
          <w:szCs w:val="20"/>
        </w:rPr>
        <w:t>Securities registered pursuant to Section 12(b) of the Act:</w:t>
      </w:r>
    </w:p>
    <w:p w:rsidR="00000000" w:rsidRDefault="00125B34">
      <w:pPr>
        <w:pStyle w:val="NormalWeb"/>
        <w:spacing w:before="0" w:beforeAutospacing="0" w:after="0" w:afterAutospacing="0"/>
        <w:jc w:val="both"/>
        <w:divId w:val="63074674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001"/>
        <w:gridCol w:w="215"/>
        <w:gridCol w:w="2987"/>
        <w:gridCol w:w="215"/>
        <w:gridCol w:w="3002"/>
      </w:tblGrid>
      <w:tr w:rsidR="00000000">
        <w:trPr>
          <w:divId w:val="630746744"/>
          <w:trHeight w:val="225"/>
          <w:tblCellSpacing w:w="15" w:type="dxa"/>
        </w:trPr>
        <w:tc>
          <w:tcPr>
            <w:tcW w:w="1600" w:type="pct"/>
            <w:tcBorders>
              <w:bottom w:val="single" w:sz="6" w:space="0" w:color="000000"/>
            </w:tcBorders>
            <w:hideMark/>
          </w:tcPr>
          <w:p w:rsidR="00000000" w:rsidRDefault="00125B34">
            <w:pPr>
              <w:pStyle w:val="NormalWeb"/>
              <w:spacing w:before="0" w:beforeAutospacing="0" w:after="0" w:afterAutospacing="0"/>
              <w:jc w:val="center"/>
              <w:rPr>
                <w:sz w:val="20"/>
                <w:szCs w:val="20"/>
              </w:rPr>
            </w:pPr>
            <w:r>
              <w:rPr>
                <w:rStyle w:val="Strong"/>
                <w:sz w:val="20"/>
                <w:szCs w:val="20"/>
              </w:rPr>
              <w:t>Title of each class</w:t>
            </w:r>
          </w:p>
        </w:tc>
        <w:tc>
          <w:tcPr>
            <w:tcW w:w="100" w:type="pct"/>
            <w:vAlign w:val="center"/>
            <w:hideMark/>
          </w:tcPr>
          <w:p w:rsidR="00000000" w:rsidRDefault="00125B34">
            <w:pPr>
              <w:pStyle w:val="NormalWeb"/>
              <w:spacing w:before="0" w:beforeAutospacing="0" w:after="0" w:afterAutospacing="0"/>
              <w:rPr>
                <w:sz w:val="20"/>
                <w:szCs w:val="20"/>
              </w:rPr>
            </w:pPr>
            <w:r>
              <w:rPr>
                <w:sz w:val="20"/>
                <w:szCs w:val="20"/>
              </w:rPr>
              <w:t> </w:t>
            </w:r>
          </w:p>
        </w:tc>
        <w:tc>
          <w:tcPr>
            <w:tcW w:w="1600" w:type="pct"/>
            <w:tcBorders>
              <w:bottom w:val="single" w:sz="6" w:space="0" w:color="000000"/>
            </w:tcBorders>
            <w:hideMark/>
          </w:tcPr>
          <w:p w:rsidR="00000000" w:rsidRDefault="00125B34">
            <w:pPr>
              <w:pStyle w:val="NormalWeb"/>
              <w:spacing w:before="0" w:beforeAutospacing="0" w:after="0" w:afterAutospacing="0"/>
              <w:jc w:val="center"/>
              <w:rPr>
                <w:sz w:val="20"/>
                <w:szCs w:val="20"/>
              </w:rPr>
            </w:pPr>
            <w:r>
              <w:rPr>
                <w:rStyle w:val="Strong"/>
                <w:sz w:val="20"/>
                <w:szCs w:val="20"/>
              </w:rPr>
              <w:t>Trading Symbols(s)</w:t>
            </w:r>
          </w:p>
        </w:tc>
        <w:tc>
          <w:tcPr>
            <w:tcW w:w="100" w:type="pct"/>
            <w:vAlign w:val="center"/>
            <w:hideMark/>
          </w:tcPr>
          <w:p w:rsidR="00000000" w:rsidRDefault="00125B34">
            <w:pPr>
              <w:pStyle w:val="NormalWeb"/>
              <w:spacing w:before="0" w:beforeAutospacing="0" w:after="0" w:afterAutospacing="0"/>
              <w:rPr>
                <w:sz w:val="20"/>
                <w:szCs w:val="20"/>
              </w:rPr>
            </w:pPr>
            <w:r>
              <w:rPr>
                <w:sz w:val="20"/>
                <w:szCs w:val="20"/>
              </w:rPr>
              <w:t> </w:t>
            </w:r>
          </w:p>
        </w:tc>
        <w:tc>
          <w:tcPr>
            <w:tcW w:w="1600" w:type="pct"/>
            <w:tcBorders>
              <w:bottom w:val="single" w:sz="6" w:space="0" w:color="000000"/>
            </w:tcBorders>
            <w:hideMark/>
          </w:tcPr>
          <w:p w:rsidR="00000000" w:rsidRDefault="00125B34">
            <w:pPr>
              <w:pStyle w:val="NormalWeb"/>
              <w:spacing w:before="0" w:beforeAutospacing="0" w:after="0" w:afterAutospacing="0"/>
              <w:jc w:val="center"/>
              <w:rPr>
                <w:sz w:val="20"/>
                <w:szCs w:val="20"/>
              </w:rPr>
            </w:pPr>
            <w:r>
              <w:rPr>
                <w:rStyle w:val="Strong"/>
                <w:sz w:val="20"/>
                <w:szCs w:val="20"/>
              </w:rPr>
              <w:t>Name of exchange on which registered</w:t>
            </w:r>
          </w:p>
        </w:tc>
      </w:tr>
      <w:tr w:rsidR="00000000">
        <w:trPr>
          <w:divId w:val="630746744"/>
          <w:trHeight w:val="225"/>
          <w:tblCellSpacing w:w="15" w:type="dxa"/>
        </w:trPr>
        <w:tc>
          <w:tcPr>
            <w:tcW w:w="0" w:type="auto"/>
            <w:hideMark/>
          </w:tcPr>
          <w:p w:rsidR="00000000" w:rsidRDefault="00125B34">
            <w:pPr>
              <w:pStyle w:val="NormalWeb"/>
              <w:spacing w:before="0" w:beforeAutospacing="0" w:after="0" w:afterAutospacing="0"/>
              <w:jc w:val="center"/>
              <w:rPr>
                <w:sz w:val="20"/>
                <w:szCs w:val="20"/>
              </w:rPr>
            </w:pPr>
            <w:customXml w:uri="http://www.xbrl.org/2013/inlineXBRL" w:element="nonNumeric">
              <w:customXmlPr>
                <w:attr w:name="contextRef" w:val="From2025-02-27to2025-02-27"/>
                <w:attr w:name="name" w:val="dei:Security12bTitle"/>
              </w:customXmlPr>
              <w:r>
                <w:rPr>
                  <w:sz w:val="20"/>
                  <w:szCs w:val="20"/>
                </w:rPr>
                <w:t>8.75% Series A Fixed-to-Floating RateCumulative Redeemable Perpetual Preferred Stock, par value $0.01 per share</w:t>
              </w:r>
            </w:customXml>
          </w:p>
        </w:tc>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hideMark/>
          </w:tcPr>
          <w:p w:rsidR="00000000" w:rsidRDefault="00125B34">
            <w:pPr>
              <w:pStyle w:val="NormalWeb"/>
              <w:spacing w:before="0" w:beforeAutospacing="0" w:after="0" w:afterAutospacing="0"/>
              <w:jc w:val="center"/>
              <w:rPr>
                <w:sz w:val="20"/>
                <w:szCs w:val="20"/>
              </w:rPr>
            </w:pPr>
            <w:customXml w:uri="http://www.xbrl.org/2013/inlineXBRL" w:element="nonNumeric">
              <w:customXmlPr>
                <w:attr w:name="contextRef" w:val="From2025-02-27to2025-02-27"/>
                <w:attr w:name="name" w:val="dei:TradingSymbol"/>
              </w:customXmlPr>
              <w:r>
                <w:rPr>
                  <w:sz w:val="20"/>
                  <w:szCs w:val="20"/>
                </w:rPr>
                <w:t>VIASP</w:t>
              </w:r>
            </w:customXml>
          </w:p>
        </w:tc>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hideMark/>
          </w:tcPr>
          <w:p w:rsidR="00000000" w:rsidRDefault="00125B34">
            <w:pPr>
              <w:pStyle w:val="NormalWeb"/>
              <w:spacing w:before="0" w:beforeAutospacing="0" w:after="0" w:afterAutospacing="0"/>
              <w:jc w:val="center"/>
              <w:rPr>
                <w:sz w:val="20"/>
                <w:szCs w:val="20"/>
              </w:rPr>
            </w:pPr>
            <w:r>
              <w:rPr>
                <w:sz w:val="20"/>
                <w:szCs w:val="20"/>
              </w:rPr>
              <w:t xml:space="preserve">The </w:t>
            </w:r>
            <w:customXml w:uri="http://www.xbrl.org/2013/inlineXBRL" w:element="nonNumeric">
              <w:customXmlPr>
                <w:attr w:name="contextRef" w:val="From2025-02-27to2025-02-27"/>
                <w:attr w:name="name" w:val="dei:SecurityExchangeName"/>
                <w:attr w:name="format" w:val="ixt-sec:exchnameen"/>
              </w:customXmlPr>
              <w:r>
                <w:rPr>
                  <w:sz w:val="20"/>
                  <w:szCs w:val="20"/>
                </w:rPr>
                <w:t>NASDAQ</w:t>
              </w:r>
            </w:customXml>
            <w:r>
              <w:rPr>
                <w:sz w:val="20"/>
                <w:szCs w:val="20"/>
              </w:rPr>
              <w:t xml:space="preserve"> Global Select Market</w:t>
            </w:r>
          </w:p>
        </w:tc>
      </w:tr>
    </w:tbl>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sz w:val="20"/>
          <w:szCs w:val="20"/>
        </w:rPr>
        <w:t xml:space="preserve">Indicate by check mark whether the registrant is an emerging growth company as defined in Rule 405 of the Securities Act of 1933 (§230.405 of this chapter) or Rule 12b-2 of the Securities Exchange Act of 1934 (§240.12b-2 of this chapter). </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sz w:val="20"/>
          <w:szCs w:val="20"/>
        </w:rPr>
        <w:t>Emerging growt</w:t>
      </w:r>
      <w:r>
        <w:rPr>
          <w:sz w:val="20"/>
          <w:szCs w:val="20"/>
        </w:rPr>
        <w:t>h company  </w:t>
      </w:r>
      <w:customXml w:uri="http://www.xbrl.org/2013/inlineXBRL" w:element="nonNumeric">
        <w:customXmlPr>
          <w:attr w:name="contextRef" w:val="From2025-02-27to2025-02-27"/>
          <w:attr w:name="name" w:val="dei:EntityEmergingGrowthCompany"/>
          <w:attr w:name="format" w:val="ixt-sec:boolballotbox"/>
        </w:customXmlPr>
        <w:r>
          <w:rPr>
            <w:rFonts w:ascii="MS Mincho" w:eastAsia="MS Mincho" w:hAnsi="MS Mincho" w:cs="MS Mincho" w:hint="eastAsia"/>
            <w:sz w:val="20"/>
            <w:szCs w:val="20"/>
          </w:rPr>
          <w:t>☐</w:t>
        </w:r>
      </w:customXml>
      <w:r>
        <w:rPr>
          <w:sz w:val="20"/>
          <w:szCs w:val="20"/>
        </w:rPr>
        <w:t xml:space="preserve"> </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w:t>
      </w:r>
      <w:r>
        <w:rPr>
          <w:sz w:val="20"/>
          <w:szCs w:val="20"/>
        </w:rPr>
        <w:t>ction 13(a) of the Exchange Act.  </w:t>
      </w:r>
      <w:r>
        <w:rPr>
          <w:rFonts w:ascii="MS Mincho" w:eastAsia="MS Mincho" w:hAnsi="MS Mincho" w:cs="MS Mincho" w:hint="eastAsia"/>
          <w:sz w:val="20"/>
          <w:szCs w:val="20"/>
        </w:rPr>
        <w:t>☐</w:t>
      </w:r>
      <w:r>
        <w:rPr>
          <w:sz w:val="20"/>
          <w:szCs w:val="20"/>
        </w:rPr>
        <w:t xml:space="preserve"> </w:t>
      </w:r>
    </w:p>
    <w:p w:rsidR="00000000" w:rsidRDefault="00125B34">
      <w:pPr>
        <w:pStyle w:val="NormalWeb"/>
        <w:spacing w:before="0" w:beforeAutospacing="0" w:after="0" w:afterAutospacing="0"/>
        <w:jc w:val="both"/>
        <w:divId w:val="630746744"/>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0000">
        <w:trPr>
          <w:divId w:val="630746744"/>
          <w:tblCellSpacing w:w="15" w:type="dxa"/>
        </w:trPr>
        <w:tc>
          <w:tcPr>
            <w:tcW w:w="0" w:type="auto"/>
            <w:tcBorders>
              <w:bottom w:val="single" w:sz="12" w:space="0" w:color="auto"/>
            </w:tcBorders>
            <w:vAlign w:val="center"/>
            <w:hideMark/>
          </w:tcPr>
          <w:p w:rsidR="00000000" w:rsidRDefault="00125B34">
            <w:pPr>
              <w:rPr>
                <w:rFonts w:eastAsia="Times New Roman"/>
                <w:sz w:val="2"/>
                <w:szCs w:val="2"/>
              </w:rPr>
            </w:pPr>
          </w:p>
        </w:tc>
      </w:tr>
      <w:tr w:rsidR="00000000">
        <w:trPr>
          <w:divId w:val="630746744"/>
          <w:tblCellSpacing w:w="15" w:type="dxa"/>
        </w:trPr>
        <w:tc>
          <w:tcPr>
            <w:tcW w:w="0" w:type="auto"/>
            <w:tcBorders>
              <w:bottom w:val="single" w:sz="36" w:space="0" w:color="auto"/>
            </w:tcBorders>
            <w:vAlign w:val="center"/>
            <w:hideMark/>
          </w:tcPr>
          <w:p w:rsidR="00000000" w:rsidRDefault="00125B34">
            <w:pPr>
              <w:rPr>
                <w:rFonts w:eastAsia="Times New Roman"/>
                <w:sz w:val="2"/>
                <w:szCs w:val="2"/>
              </w:rPr>
            </w:pPr>
          </w:p>
        </w:tc>
      </w:tr>
    </w:tbl>
    <w:p w:rsidR="00000000" w:rsidRDefault="00125B34">
      <w:pPr>
        <w:jc w:val="both"/>
        <w:divId w:val="630746744"/>
        <w:rPr>
          <w:rFonts w:eastAsia="Times New Roman"/>
          <w:vanish/>
          <w:sz w:val="20"/>
          <w:szCs w:val="20"/>
        </w:rPr>
      </w:pPr>
    </w:p>
    <w:tbl>
      <w:tblPr>
        <w:tblW w:w="5000" w:type="pct"/>
        <w:tblCellSpacing w:w="15" w:type="dxa"/>
        <w:tblCellMar>
          <w:left w:w="0" w:type="dxa"/>
          <w:right w:w="0" w:type="dxa"/>
        </w:tblCellMar>
        <w:tblLook w:val="04A0" w:firstRow="1" w:lastRow="0" w:firstColumn="1" w:lastColumn="0" w:noHBand="0" w:noVBand="1"/>
      </w:tblPr>
      <w:tblGrid>
        <w:gridCol w:w="9420"/>
      </w:tblGrid>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p>
        </w:tc>
      </w:tr>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p>
        </w:tc>
      </w:tr>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bl>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rStyle w:val="Strong"/>
          <w:sz w:val="20"/>
          <w:szCs w:val="20"/>
        </w:rPr>
        <w:t>Item 8.01 Other Events.</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rStyle w:val="Strong"/>
          <w:sz w:val="20"/>
          <w:szCs w:val="20"/>
          <w:u w:val="single"/>
        </w:rPr>
        <w:t>Commencement of Tender Offer</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ind w:firstLine="675"/>
        <w:jc w:val="both"/>
        <w:divId w:val="630746744"/>
        <w:rPr>
          <w:sz w:val="20"/>
          <w:szCs w:val="20"/>
        </w:rPr>
      </w:pPr>
      <w:r>
        <w:rPr>
          <w:sz w:val="20"/>
          <w:szCs w:val="20"/>
        </w:rPr>
        <w:t>On February 27, 2025, Via Renewables, Inc. (the “Company”</w:t>
      </w:r>
      <w:r>
        <w:rPr>
          <w:sz w:val="20"/>
          <w:szCs w:val="20"/>
        </w:rPr>
        <w:t xml:space="preserve">) issued a press release announcing the commencement of a tender offer to purchase up to 200,000 shares of its 8.75% Series A Fixed-to-Floating Rate Cumulative Redeemable Perpetual Preferred Stock, par value $0.01 per share (the “Series A Preferred Stock” </w:t>
      </w:r>
      <w:r>
        <w:rPr>
          <w:sz w:val="20"/>
          <w:szCs w:val="20"/>
        </w:rPr>
        <w:t>or the “shares”), at a purchase price of $24.00 per share, in cash, less applicable withholding taxes and without interest (the “Offer”). The Offer is made solely upon the terms and conditions in an Offer to Purchase and the related Letter of Transmittal a</w:t>
      </w:r>
      <w:r>
        <w:rPr>
          <w:sz w:val="20"/>
          <w:szCs w:val="20"/>
        </w:rPr>
        <w:t>nd other related offering materials that are being distributed to holders of the Series A Preferred Stock. A copy of the press release is attached hereto as Exhibit 99.1, and incorporated herein by reference.</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rStyle w:val="Emphasis"/>
          <w:b/>
          <w:bCs/>
          <w:sz w:val="20"/>
          <w:szCs w:val="20"/>
        </w:rPr>
        <w:t>Important Additional Information</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ind w:firstLine="675"/>
        <w:jc w:val="both"/>
        <w:divId w:val="630746744"/>
        <w:rPr>
          <w:sz w:val="20"/>
          <w:szCs w:val="20"/>
        </w:rPr>
      </w:pPr>
      <w:r>
        <w:rPr>
          <w:sz w:val="20"/>
          <w:szCs w:val="20"/>
        </w:rPr>
        <w:t>This communication is for informational purposes only and is not an offer to buy or the solicitation of an offer to sell any shares of the Company’s Series A Preferred Stock. The Offer is being made solely by the Offer to Purchase and the related Letter of</w:t>
      </w:r>
      <w:r>
        <w:rPr>
          <w:sz w:val="20"/>
          <w:szCs w:val="20"/>
        </w:rPr>
        <w:t xml:space="preserve"> Transmittal, as they may be amended or supplemented. Holders of Series A Preferred Stock and investors are urged to read the Company’s tender offer statement on Schedule TO, which have been filed with the Commission in connection with the Offer, which inc</w:t>
      </w:r>
      <w:r>
        <w:rPr>
          <w:sz w:val="20"/>
          <w:szCs w:val="20"/>
        </w:rPr>
        <w:t>ludes as exhibits the Offer to Purchase, the related Letter of Transmittal and other offer materials, as well as any amendments or supplements to the Schedule TO when they become available, because they contain important information. Each of these document</w:t>
      </w:r>
      <w:r>
        <w:rPr>
          <w:sz w:val="20"/>
          <w:szCs w:val="20"/>
        </w:rPr>
        <w:t>s have been filed with the Commission, and investors may obtain them for free from the Commission at its website (</w:t>
      </w:r>
      <w:r>
        <w:rPr>
          <w:sz w:val="20"/>
          <w:szCs w:val="20"/>
          <w:u w:val="single"/>
        </w:rPr>
        <w:t>www.sec.gov</w:t>
      </w:r>
      <w:r>
        <w:rPr>
          <w:sz w:val="20"/>
          <w:szCs w:val="20"/>
        </w:rPr>
        <w:t>) or from Alliance Advisors, the information agent for the tender offer by telephone at (833) 214-3125 or by email at VIA@alliancea</w:t>
      </w:r>
      <w:r>
        <w:rPr>
          <w:sz w:val="20"/>
          <w:szCs w:val="20"/>
        </w:rPr>
        <w:t>dvisors.com.</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rStyle w:val="Strong"/>
          <w:sz w:val="20"/>
          <w:szCs w:val="20"/>
        </w:rPr>
        <w:t>Item 9.01 Financial Statements and Exhibits.</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sz w:val="20"/>
          <w:szCs w:val="20"/>
        </w:rPr>
        <w:t>(d) Exhibits.</w:t>
      </w:r>
    </w:p>
    <w:p w:rsidR="00000000" w:rsidRDefault="00125B34">
      <w:pPr>
        <w:pStyle w:val="NormalWeb"/>
        <w:spacing w:before="0" w:beforeAutospacing="0" w:after="0" w:afterAutospacing="0"/>
        <w:jc w:val="both"/>
        <w:divId w:val="63074674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64"/>
        <w:gridCol w:w="103"/>
        <w:gridCol w:w="8553"/>
      </w:tblGrid>
      <w:tr w:rsidR="00000000">
        <w:trPr>
          <w:divId w:val="630746744"/>
          <w:trHeight w:val="225"/>
          <w:tblCellSpacing w:w="15" w:type="dxa"/>
        </w:trPr>
        <w:tc>
          <w:tcPr>
            <w:tcW w:w="350" w:type="pct"/>
            <w:tcBorders>
              <w:bottom w:val="single" w:sz="6" w:space="0" w:color="auto"/>
            </w:tcBorders>
            <w:vAlign w:val="center"/>
            <w:hideMark/>
          </w:tcPr>
          <w:p w:rsidR="00000000" w:rsidRDefault="00125B34">
            <w:pPr>
              <w:pStyle w:val="NormalWeb"/>
              <w:spacing w:before="0" w:beforeAutospacing="0" w:after="0" w:afterAutospacing="0"/>
              <w:ind w:left="7"/>
              <w:jc w:val="center"/>
              <w:rPr>
                <w:sz w:val="20"/>
                <w:szCs w:val="20"/>
              </w:rPr>
            </w:pPr>
            <w:r>
              <w:rPr>
                <w:rStyle w:val="Strong"/>
                <w:sz w:val="20"/>
                <w:szCs w:val="20"/>
              </w:rPr>
              <w:t>Exhibit Number</w:t>
            </w:r>
          </w:p>
        </w:tc>
        <w:tc>
          <w:tcPr>
            <w:tcW w:w="50" w:type="pct"/>
            <w:vAlign w:val="center"/>
            <w:hideMark/>
          </w:tcPr>
          <w:p w:rsidR="00000000" w:rsidRDefault="00125B34">
            <w:pPr>
              <w:pStyle w:val="NormalWeb"/>
              <w:spacing w:before="0" w:beforeAutospacing="0" w:after="0" w:afterAutospacing="0"/>
              <w:jc w:val="center"/>
              <w:rPr>
                <w:sz w:val="20"/>
                <w:szCs w:val="20"/>
              </w:rPr>
            </w:pPr>
            <w:r>
              <w:rPr>
                <w:sz w:val="20"/>
                <w:szCs w:val="20"/>
              </w:rPr>
              <w:t> </w:t>
            </w:r>
          </w:p>
        </w:tc>
        <w:tc>
          <w:tcPr>
            <w:tcW w:w="0" w:type="auto"/>
            <w:tcBorders>
              <w:bottom w:val="single" w:sz="6" w:space="0" w:color="auto"/>
            </w:tcBorders>
            <w:vAlign w:val="center"/>
            <w:hideMark/>
          </w:tcPr>
          <w:p w:rsidR="00000000" w:rsidRDefault="00125B34">
            <w:pPr>
              <w:pStyle w:val="NormalWeb"/>
              <w:spacing w:before="0" w:beforeAutospacing="0" w:after="0" w:afterAutospacing="0"/>
              <w:ind w:left="7"/>
              <w:jc w:val="center"/>
              <w:rPr>
                <w:sz w:val="20"/>
                <w:szCs w:val="20"/>
              </w:rPr>
            </w:pPr>
            <w:r>
              <w:rPr>
                <w:rStyle w:val="Strong"/>
                <w:sz w:val="20"/>
                <w:szCs w:val="20"/>
              </w:rPr>
              <w:t>Description</w:t>
            </w:r>
          </w:p>
        </w:tc>
      </w:tr>
      <w:tr w:rsidR="00000000">
        <w:trPr>
          <w:divId w:val="630746744"/>
          <w:trHeight w:val="225"/>
          <w:tblCellSpacing w:w="15" w:type="dxa"/>
        </w:trPr>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r>
      <w:tr w:rsidR="00000000">
        <w:trPr>
          <w:divId w:val="630746744"/>
          <w:trHeight w:val="225"/>
          <w:tblCellSpacing w:w="15" w:type="dxa"/>
        </w:trPr>
        <w:tc>
          <w:tcPr>
            <w:tcW w:w="0" w:type="auto"/>
            <w:shd w:val="clear" w:color="auto" w:fill="CCEEFF"/>
            <w:vAlign w:val="center"/>
            <w:hideMark/>
          </w:tcPr>
          <w:p w:rsidR="00000000" w:rsidRDefault="00125B34">
            <w:pPr>
              <w:pStyle w:val="NormalWeb"/>
              <w:spacing w:before="0" w:beforeAutospacing="0" w:after="0" w:afterAutospacing="0"/>
              <w:ind w:left="7"/>
              <w:jc w:val="center"/>
              <w:rPr>
                <w:sz w:val="20"/>
                <w:szCs w:val="20"/>
              </w:rPr>
            </w:pPr>
            <w:hyperlink r:id="rId5" w:tgtFrame="_blank" w:history="1">
              <w:r>
                <w:rPr>
                  <w:rStyle w:val="Hyperlink"/>
                  <w:sz w:val="20"/>
                  <w:szCs w:val="20"/>
                </w:rPr>
                <w:t>99.1 </w:t>
              </w:r>
            </w:hyperlink>
          </w:p>
        </w:tc>
        <w:tc>
          <w:tcPr>
            <w:tcW w:w="0" w:type="auto"/>
            <w:shd w:val="clear" w:color="auto" w:fill="CCEEFF"/>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rsidR="00000000" w:rsidRDefault="00125B34">
            <w:pPr>
              <w:pStyle w:val="NormalWeb"/>
              <w:spacing w:before="0" w:beforeAutospacing="0" w:after="0" w:afterAutospacing="0"/>
              <w:ind w:left="7"/>
              <w:rPr>
                <w:sz w:val="20"/>
                <w:szCs w:val="20"/>
              </w:rPr>
            </w:pPr>
            <w:hyperlink r:id="rId6" w:tgtFrame="_blank" w:history="1">
              <w:r>
                <w:rPr>
                  <w:rStyle w:val="Hyperlink"/>
                  <w:sz w:val="20"/>
                  <w:szCs w:val="20"/>
                </w:rPr>
                <w:t>Press Release of Via Renewables, Inc., dated February 27, 2025</w:t>
              </w:r>
            </w:hyperlink>
          </w:p>
        </w:tc>
      </w:tr>
      <w:tr w:rsidR="00000000">
        <w:trPr>
          <w:divId w:val="630746744"/>
          <w:trHeight w:val="225"/>
          <w:tblCellSpacing w:w="15" w:type="dxa"/>
        </w:trPr>
        <w:tc>
          <w:tcPr>
            <w:tcW w:w="0" w:type="auto"/>
            <w:shd w:val="clear" w:color="auto" w:fill="FFFFFF"/>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rsidR="00000000" w:rsidRDefault="00125B34">
            <w:pPr>
              <w:pStyle w:val="NormalWeb"/>
              <w:spacing w:before="0" w:beforeAutospacing="0" w:after="0" w:afterAutospacing="0"/>
              <w:rPr>
                <w:sz w:val="20"/>
                <w:szCs w:val="20"/>
              </w:rPr>
            </w:pPr>
            <w:r>
              <w:rPr>
                <w:sz w:val="20"/>
                <w:szCs w:val="20"/>
              </w:rPr>
              <w:t> </w:t>
            </w:r>
          </w:p>
        </w:tc>
      </w:tr>
      <w:tr w:rsidR="00000000">
        <w:trPr>
          <w:divId w:val="630746744"/>
          <w:trHeight w:val="225"/>
          <w:tblCellSpacing w:w="15" w:type="dxa"/>
        </w:trPr>
        <w:tc>
          <w:tcPr>
            <w:tcW w:w="0" w:type="auto"/>
            <w:shd w:val="clear" w:color="auto" w:fill="CCEEFF"/>
            <w:vAlign w:val="center"/>
            <w:hideMark/>
          </w:tcPr>
          <w:p w:rsidR="00000000" w:rsidRDefault="00125B34">
            <w:pPr>
              <w:pStyle w:val="NormalWeb"/>
              <w:spacing w:before="0" w:beforeAutospacing="0" w:after="0" w:afterAutospacing="0"/>
              <w:ind w:left="7"/>
              <w:jc w:val="center"/>
              <w:rPr>
                <w:sz w:val="20"/>
                <w:szCs w:val="20"/>
              </w:rPr>
            </w:pPr>
            <w:r>
              <w:rPr>
                <w:sz w:val="20"/>
                <w:szCs w:val="20"/>
              </w:rPr>
              <w:t>#</w:t>
            </w:r>
          </w:p>
        </w:tc>
        <w:tc>
          <w:tcPr>
            <w:tcW w:w="0" w:type="auto"/>
            <w:shd w:val="clear" w:color="auto" w:fill="CCEEFF"/>
            <w:vAlign w:val="center"/>
            <w:hideMark/>
          </w:tcPr>
          <w:p w:rsidR="00000000" w:rsidRDefault="00125B34">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rsidR="00000000" w:rsidRDefault="00125B34">
            <w:pPr>
              <w:pStyle w:val="NormalWeb"/>
              <w:spacing w:before="0" w:beforeAutospacing="0" w:after="0" w:afterAutospacing="0"/>
              <w:ind w:left="7"/>
              <w:rPr>
                <w:sz w:val="20"/>
                <w:szCs w:val="20"/>
              </w:rPr>
            </w:pPr>
            <w:r>
              <w:rPr>
                <w:sz w:val="20"/>
                <w:szCs w:val="20"/>
              </w:rPr>
              <w:t>The Registrant agrees to furnish supplementary a copy of any schedules and exhibits to the Commission upon request.</w:t>
            </w:r>
          </w:p>
        </w:tc>
      </w:tr>
    </w:tbl>
    <w:p w:rsidR="00000000" w:rsidRDefault="00125B34">
      <w:pPr>
        <w:pStyle w:val="NormalWeb"/>
        <w:spacing w:before="0" w:beforeAutospacing="0" w:after="0" w:afterAutospacing="0"/>
        <w:jc w:val="center"/>
        <w:divId w:val="63074674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420"/>
      </w:tblGrid>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r w:rsidR="00000000">
        <w:trPr>
          <w:divId w:val="630746744"/>
          <w:trHeight w:val="225"/>
          <w:tblCellSpacing w:w="15" w:type="dxa"/>
        </w:trPr>
        <w:tc>
          <w:tcPr>
            <w:tcW w:w="0" w:type="auto"/>
            <w:tcBorders>
              <w:bottom w:val="single" w:sz="6" w:space="0" w:color="000000"/>
            </w:tcBorders>
            <w:vAlign w:val="center"/>
            <w:hideMark/>
          </w:tcPr>
          <w:p w:rsidR="00000000" w:rsidRDefault="00125B34">
            <w:pPr>
              <w:pStyle w:val="NormalWeb"/>
              <w:spacing w:before="0" w:beforeAutospacing="0" w:after="0" w:afterAutospacing="0"/>
              <w:jc w:val="center"/>
              <w:rPr>
                <w:sz w:val="20"/>
                <w:szCs w:val="20"/>
              </w:rPr>
            </w:pPr>
            <w:r>
              <w:rPr>
                <w:sz w:val="20"/>
                <w:szCs w:val="20"/>
              </w:rPr>
              <w:t>2</w:t>
            </w:r>
          </w:p>
        </w:tc>
      </w:tr>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p>
        </w:tc>
      </w:tr>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bl>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center"/>
        <w:divId w:val="630746744"/>
        <w:rPr>
          <w:sz w:val="20"/>
          <w:szCs w:val="20"/>
        </w:rPr>
      </w:pPr>
      <w:r>
        <w:rPr>
          <w:sz w:val="20"/>
          <w:szCs w:val="20"/>
        </w:rPr>
        <w:t> </w:t>
      </w:r>
    </w:p>
    <w:p w:rsidR="00000000" w:rsidRDefault="00125B34">
      <w:pPr>
        <w:pStyle w:val="NormalWeb"/>
        <w:spacing w:before="0" w:beforeAutospacing="0" w:after="0" w:afterAutospacing="0"/>
        <w:jc w:val="center"/>
        <w:divId w:val="630746744"/>
        <w:rPr>
          <w:sz w:val="20"/>
          <w:szCs w:val="20"/>
        </w:rPr>
      </w:pPr>
      <w:r>
        <w:rPr>
          <w:rStyle w:val="Strong"/>
          <w:sz w:val="20"/>
          <w:szCs w:val="20"/>
        </w:rPr>
        <w:t>SIGNATURES</w:t>
      </w:r>
    </w:p>
    <w:p w:rsidR="00000000" w:rsidRDefault="00125B34">
      <w:pPr>
        <w:pStyle w:val="NormalWeb"/>
        <w:spacing w:before="0" w:beforeAutospacing="0" w:after="0" w:afterAutospacing="0"/>
        <w:jc w:val="center"/>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sz w:val="20"/>
          <w:szCs w:val="20"/>
        </w:rPr>
        <w:t>Pursuant to the requirements of the Securities Exchange Act of 1934, the registrant has duly caused this report to be signed on its behalf by the undersigned hereunto duly authorized.</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sz w:val="20"/>
          <w:szCs w:val="20"/>
        </w:rPr>
        <w:t>Dated: February 27, 2025</w:t>
      </w:r>
    </w:p>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pStyle w:val="NormalWeb"/>
        <w:spacing w:before="0" w:beforeAutospacing="0" w:after="0" w:afterAutospacing="0"/>
        <w:jc w:val="both"/>
        <w:divId w:val="630746744"/>
        <w:rPr>
          <w:sz w:val="20"/>
          <w:szCs w:val="20"/>
        </w:rPr>
      </w:pPr>
      <w:r>
        <w:rPr>
          <w:rStyle w:val="Strong"/>
          <w:sz w:val="20"/>
          <w:szCs w:val="20"/>
        </w:rPr>
        <w:t>Via Renewables, Inc.</w:t>
      </w:r>
    </w:p>
    <w:p w:rsidR="00000000" w:rsidRDefault="00125B34">
      <w:pPr>
        <w:pStyle w:val="NormalWeb"/>
        <w:spacing w:before="0" w:beforeAutospacing="0" w:after="0" w:afterAutospacing="0"/>
        <w:jc w:val="both"/>
        <w:divId w:val="63074674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79"/>
        <w:gridCol w:w="3250"/>
        <w:gridCol w:w="5591"/>
      </w:tblGrid>
      <w:tr w:rsidR="00000000">
        <w:trPr>
          <w:divId w:val="630746744"/>
          <w:trHeight w:val="225"/>
          <w:tblCellSpacing w:w="15" w:type="dxa"/>
        </w:trPr>
        <w:tc>
          <w:tcPr>
            <w:tcW w:w="250" w:type="pct"/>
            <w:hideMark/>
          </w:tcPr>
          <w:p w:rsidR="00000000" w:rsidRDefault="00125B34">
            <w:pPr>
              <w:pStyle w:val="NormalWeb"/>
              <w:spacing w:before="0" w:beforeAutospacing="0" w:after="0" w:afterAutospacing="0"/>
              <w:rPr>
                <w:sz w:val="20"/>
                <w:szCs w:val="20"/>
              </w:rPr>
            </w:pPr>
            <w:r>
              <w:rPr>
                <w:sz w:val="20"/>
                <w:szCs w:val="20"/>
              </w:rPr>
              <w:t xml:space="preserve">By: </w:t>
            </w:r>
          </w:p>
        </w:tc>
        <w:tc>
          <w:tcPr>
            <w:tcW w:w="1750" w:type="pct"/>
            <w:tcBorders>
              <w:bottom w:val="single" w:sz="6" w:space="0" w:color="000000"/>
            </w:tcBorders>
            <w:hideMark/>
          </w:tcPr>
          <w:p w:rsidR="00000000" w:rsidRDefault="00125B34">
            <w:pPr>
              <w:pStyle w:val="NormalWeb"/>
              <w:spacing w:before="0" w:beforeAutospacing="0" w:after="0" w:afterAutospacing="0"/>
              <w:rPr>
                <w:sz w:val="20"/>
                <w:szCs w:val="20"/>
              </w:rPr>
            </w:pPr>
            <w:r>
              <w:rPr>
                <w:sz w:val="20"/>
                <w:szCs w:val="20"/>
              </w:rPr>
              <w:t>/s/ Mike Barajas</w:t>
            </w:r>
          </w:p>
        </w:tc>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r>
      <w:tr w:rsidR="00000000">
        <w:trPr>
          <w:divId w:val="630746744"/>
          <w:trHeight w:val="225"/>
          <w:tblCellSpacing w:w="15" w:type="dxa"/>
        </w:trPr>
        <w:tc>
          <w:tcPr>
            <w:tcW w:w="0" w:type="auto"/>
            <w:hideMark/>
          </w:tcPr>
          <w:p w:rsidR="00000000" w:rsidRDefault="00125B34">
            <w:pPr>
              <w:pStyle w:val="NormalWeb"/>
              <w:spacing w:before="0" w:beforeAutospacing="0" w:after="0" w:afterAutospacing="0"/>
              <w:rPr>
                <w:sz w:val="20"/>
                <w:szCs w:val="20"/>
              </w:rPr>
            </w:pPr>
            <w:r>
              <w:rPr>
                <w:sz w:val="20"/>
                <w:szCs w:val="20"/>
              </w:rPr>
              <w:t>Name:</w:t>
            </w:r>
          </w:p>
        </w:tc>
        <w:tc>
          <w:tcPr>
            <w:tcW w:w="0" w:type="auto"/>
            <w:hideMark/>
          </w:tcPr>
          <w:p w:rsidR="00000000" w:rsidRDefault="00125B34">
            <w:pPr>
              <w:pStyle w:val="NormalWeb"/>
              <w:spacing w:before="0" w:beforeAutospacing="0" w:after="0" w:afterAutospacing="0"/>
              <w:rPr>
                <w:sz w:val="20"/>
                <w:szCs w:val="20"/>
              </w:rPr>
            </w:pPr>
            <w:r>
              <w:rPr>
                <w:sz w:val="20"/>
                <w:szCs w:val="20"/>
              </w:rPr>
              <w:t>Mike Barajas</w:t>
            </w:r>
          </w:p>
        </w:tc>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r>
      <w:tr w:rsidR="00000000">
        <w:trPr>
          <w:divId w:val="630746744"/>
          <w:trHeight w:val="225"/>
          <w:tblCellSpacing w:w="15" w:type="dxa"/>
        </w:trPr>
        <w:tc>
          <w:tcPr>
            <w:tcW w:w="0" w:type="auto"/>
            <w:hideMark/>
          </w:tcPr>
          <w:p w:rsidR="00000000" w:rsidRDefault="00125B34">
            <w:pPr>
              <w:pStyle w:val="NormalWeb"/>
              <w:spacing w:before="0" w:beforeAutospacing="0" w:after="0" w:afterAutospacing="0"/>
              <w:rPr>
                <w:sz w:val="20"/>
                <w:szCs w:val="20"/>
              </w:rPr>
            </w:pPr>
            <w:r>
              <w:rPr>
                <w:sz w:val="20"/>
                <w:szCs w:val="20"/>
              </w:rPr>
              <w:t xml:space="preserve">Title: </w:t>
            </w:r>
          </w:p>
        </w:tc>
        <w:tc>
          <w:tcPr>
            <w:tcW w:w="0" w:type="auto"/>
            <w:hideMark/>
          </w:tcPr>
          <w:p w:rsidR="00000000" w:rsidRDefault="00125B34">
            <w:pPr>
              <w:pStyle w:val="NormalWeb"/>
              <w:spacing w:before="0" w:beforeAutospacing="0" w:after="0" w:afterAutospacing="0"/>
              <w:rPr>
                <w:sz w:val="20"/>
                <w:szCs w:val="20"/>
              </w:rPr>
            </w:pPr>
            <w:r>
              <w:rPr>
                <w:sz w:val="20"/>
                <w:szCs w:val="20"/>
              </w:rPr>
              <w:t>Chief Financial Officer</w:t>
            </w:r>
          </w:p>
        </w:tc>
        <w:tc>
          <w:tcPr>
            <w:tcW w:w="0" w:type="auto"/>
            <w:vAlign w:val="center"/>
            <w:hideMark/>
          </w:tcPr>
          <w:p w:rsidR="00000000" w:rsidRDefault="00125B34">
            <w:pPr>
              <w:pStyle w:val="NormalWeb"/>
              <w:spacing w:before="0" w:beforeAutospacing="0" w:after="0" w:afterAutospacing="0"/>
              <w:rPr>
                <w:sz w:val="20"/>
                <w:szCs w:val="20"/>
              </w:rPr>
            </w:pPr>
            <w:r>
              <w:rPr>
                <w:sz w:val="20"/>
                <w:szCs w:val="20"/>
              </w:rPr>
              <w:t> </w:t>
            </w:r>
          </w:p>
        </w:tc>
      </w:tr>
    </w:tbl>
    <w:p w:rsidR="00000000" w:rsidRDefault="00125B34">
      <w:pPr>
        <w:pStyle w:val="NormalWeb"/>
        <w:spacing w:before="0" w:beforeAutospacing="0" w:after="0" w:afterAutospacing="0"/>
        <w:jc w:val="both"/>
        <w:divId w:val="63074674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420"/>
      </w:tblGrid>
      <w:tr w:rsidR="00000000">
        <w:trPr>
          <w:divId w:val="630746744"/>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r w:rsidR="00000000">
        <w:trPr>
          <w:divId w:val="630746744"/>
          <w:trHeight w:val="225"/>
          <w:tblCellSpacing w:w="15" w:type="dxa"/>
        </w:trPr>
        <w:tc>
          <w:tcPr>
            <w:tcW w:w="0" w:type="auto"/>
            <w:tcBorders>
              <w:bottom w:val="single" w:sz="6" w:space="0" w:color="000000"/>
            </w:tcBorders>
            <w:vAlign w:val="center"/>
            <w:hideMark/>
          </w:tcPr>
          <w:p w:rsidR="00000000" w:rsidRDefault="00125B34">
            <w:pPr>
              <w:pStyle w:val="NormalWeb"/>
              <w:spacing w:before="0" w:beforeAutospacing="0" w:after="0" w:afterAutospacing="0"/>
              <w:jc w:val="center"/>
              <w:rPr>
                <w:sz w:val="20"/>
                <w:szCs w:val="20"/>
              </w:rPr>
            </w:pPr>
            <w:r>
              <w:rPr>
                <w:sz w:val="20"/>
                <w:szCs w:val="20"/>
              </w:rPr>
              <w:t>3</w:t>
            </w:r>
          </w:p>
        </w:tc>
      </w:tr>
    </w:tbl>
    <w:p w:rsidR="00000000" w:rsidRDefault="00125B34">
      <w:pPr>
        <w:pStyle w:val="NormalWeb"/>
        <w:spacing w:before="0" w:beforeAutospacing="0" w:after="0" w:afterAutospacing="0"/>
        <w:jc w:val="both"/>
        <w:divId w:val="630746744"/>
        <w:rPr>
          <w:sz w:val="20"/>
          <w:szCs w:val="20"/>
        </w:rPr>
      </w:pPr>
      <w:r>
        <w:rPr>
          <w:sz w:val="20"/>
          <w:szCs w:val="20"/>
        </w:rPr>
        <w:t> </w:t>
      </w:r>
    </w:p>
    <w:p w:rsidR="00000000" w:rsidRDefault="00125B34">
      <w:pPr>
        <w:divId w:val="565190829"/>
        <w:rPr>
          <w:rFonts w:eastAsia="Times New Roman"/>
        </w:rPr>
      </w:pPr>
      <w:r>
        <w:rPr>
          <w:rFonts w:eastAsia="Times New Roman"/>
        </w:rPr>
        <w:t> </w:t>
      </w:r>
    </w:p>
    <w:p w:rsidR="00000000" w:rsidRDefault="00125B34">
      <w:pPr>
        <w:rPr>
          <w:rFonts w:eastAsia="Times New Roman"/>
        </w:rPr>
      </w:pPr>
    </w:p>
    <w:p w:rsidR="00000000" w:rsidRDefault="00125B34">
      <w:pPr>
        <w:pStyle w:val="NormalWeb"/>
        <w:spacing w:before="0" w:beforeAutospacing="0" w:after="0" w:afterAutospacing="0"/>
        <w:jc w:val="right"/>
        <w:divId w:val="1109816408"/>
        <w:rPr>
          <w:color w:val="000000"/>
          <w:sz w:val="20"/>
          <w:szCs w:val="20"/>
        </w:rPr>
      </w:pPr>
      <w:r>
        <w:rPr>
          <w:rStyle w:val="Strong"/>
          <w:color w:val="000000"/>
          <w:sz w:val="20"/>
          <w:szCs w:val="20"/>
        </w:rPr>
        <w:t>  EXHIBIT 99.1</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Via Renewables Announces Commencement of Tender Offer to Purchase up to 200,000 Shares of its Series A Preferred Stock for $24.00 Per Share in Cash</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HOUSTON, TX / ACCESS Newswire / February 27, 2025 /</w:t>
      </w:r>
      <w:r>
        <w:rPr>
          <w:color w:val="000000"/>
          <w:sz w:val="20"/>
          <w:szCs w:val="20"/>
        </w:rPr>
        <w:t> Via Renewables, Inc. (NASDAQ:VIASP) (including its sub</w:t>
      </w:r>
      <w:r>
        <w:rPr>
          <w:color w:val="000000"/>
          <w:sz w:val="20"/>
          <w:szCs w:val="20"/>
        </w:rPr>
        <w:t xml:space="preserve">sidiaries, “we,” “our,” “us,” “Via Renewables,” or the “Company”) today announced that it is commencing a tender offer to purchase up to </w:t>
      </w:r>
      <w:bookmarkStart w:id="1" w:name="_Hlk181194030"/>
      <w:r>
        <w:rPr>
          <w:color w:val="000000"/>
          <w:sz w:val="20"/>
          <w:szCs w:val="20"/>
        </w:rPr>
        <w:t xml:space="preserve">200,000 </w:t>
      </w:r>
      <w:bookmarkEnd w:id="1"/>
      <w:r>
        <w:rPr>
          <w:color w:val="000000"/>
          <w:sz w:val="20"/>
          <w:szCs w:val="20"/>
        </w:rPr>
        <w:t>shares of its 8.75% Series A Fixed-to-Floating Rate Cumulative Redeemable Perpetual Preferred Stock, par value </w:t>
      </w:r>
      <w:r>
        <w:rPr>
          <w:color w:val="000000"/>
          <w:sz w:val="20"/>
          <w:szCs w:val="20"/>
        </w:rPr>
        <w:t>$0.01 per share (the “Series A Preferred Stock” or the “shares”), at a purchase price of $24.00 per share, in cash, less applicable withholding taxes and without interest. The number of shares proposed to be purchased in the tender offer represents approxi</w:t>
      </w:r>
      <w:r>
        <w:rPr>
          <w:color w:val="000000"/>
          <w:sz w:val="20"/>
          <w:szCs w:val="20"/>
        </w:rPr>
        <w:t>mately 5.9% of the Company’s currently outstanding Series A Preferred Stock.</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Pursuant to the tender offer, holders of the Company’s Series A Preferred Stock may tender all or a portion of their shares. Holders will receive the purchase price in cash, sub</w:t>
      </w:r>
      <w:r>
        <w:rPr>
          <w:color w:val="000000"/>
          <w:sz w:val="20"/>
          <w:szCs w:val="20"/>
        </w:rPr>
        <w:t>ject to applicable withholding and without interest, subject to the conditions of the tender offer, including the provision relating to proration in the event that the number of shares properly tendered and not properly withdrawn exceeds 200,000. The prora</w:t>
      </w:r>
      <w:r>
        <w:rPr>
          <w:color w:val="000000"/>
          <w:sz w:val="20"/>
          <w:szCs w:val="20"/>
        </w:rPr>
        <w:t>tion of Series A Preferred Stock tendered in the tender offer is described in the Offer to Purchase and in the Letter of Transmittal relating to the tender offer that will be distributed to holders of Series A Preferred Stock and filed with the U.S. Securi</w:t>
      </w:r>
      <w:r>
        <w:rPr>
          <w:color w:val="000000"/>
          <w:sz w:val="20"/>
          <w:szCs w:val="20"/>
        </w:rPr>
        <w:t xml:space="preserve">ties and Exchange Commission (the “Commission”).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The tender offer is not conditioned upon receipt of any financing or on any minimum number of shares being tendered; however, the tender offer is subject to a number of other terms and conditions specifie</w:t>
      </w:r>
      <w:r>
        <w:rPr>
          <w:color w:val="000000"/>
          <w:sz w:val="20"/>
          <w:szCs w:val="20"/>
        </w:rPr>
        <w:t>d in the Offer to Purchase. The tender offer and withdrawal rights will expire at 5:00 p.m., New York City time, on Friday, March 28, 2025, unless extended or terminated. Tenders of shares must be made prior to the expiration of the tender offer and may be</w:t>
      </w:r>
      <w:r>
        <w:rPr>
          <w:color w:val="000000"/>
          <w:sz w:val="20"/>
          <w:szCs w:val="20"/>
        </w:rPr>
        <w:t xml:space="preserve"> withdrawn at any time prior to the expiration of the tender offer. Holders of Series A Preferred Stock wishing to tender their shares but who are unable to deliver them physically or by book-entry transfer prior to the expiration of the tender offer, or w</w:t>
      </w:r>
      <w:r>
        <w:rPr>
          <w:color w:val="000000"/>
          <w:sz w:val="20"/>
          <w:szCs w:val="20"/>
        </w:rPr>
        <w:t>ho are unable to make delivery of all required documents to the depositary prior to the expiration of the tender offer, may tender their shares by complying with the procedures set forth in the Offer to Purchase for tendering by notice of guaranteed delive</w:t>
      </w:r>
      <w:r>
        <w:rPr>
          <w:color w:val="000000"/>
          <w:sz w:val="20"/>
          <w:szCs w:val="20"/>
        </w:rPr>
        <w:t>ry. Alliance Advisors is serving as information agent for the tender offer. Equiniti Trust Co is acting as the depositary for the tender offer. Copies of the tender offer documents and requests for assistance may be directed to the Information Agent at All</w:t>
      </w:r>
      <w:r>
        <w:rPr>
          <w:color w:val="000000"/>
          <w:sz w:val="20"/>
          <w:szCs w:val="20"/>
        </w:rPr>
        <w:t>iance Advisors at (833) 214-3125 (toll free) or via email at VIA@allianceadvisors.com.</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The Company’s Board of Directors has authorized the Company to make the tender offer. However, none of the Company, the Company’s Board of Directors, the information a</w:t>
      </w:r>
      <w:r>
        <w:rPr>
          <w:color w:val="000000"/>
          <w:sz w:val="20"/>
          <w:szCs w:val="20"/>
        </w:rPr>
        <w:t xml:space="preserve">gent or the depositary, or any of their respective affiliates, makes any recommendation to holders of Series A Preferred Stock as to whether to tender or refrain from tendering their shares. No person is authorized to make any such recommendation. Holders </w:t>
      </w:r>
      <w:r>
        <w:rPr>
          <w:color w:val="000000"/>
          <w:sz w:val="20"/>
          <w:szCs w:val="20"/>
        </w:rPr>
        <w:t>of Series A Preferred Stock must make their own decision as to whether to tender their shares and, if so, how many shares to tender. In doing so, holders of Series A Preferred Stock should read carefully the information in, or incorporated by reference in,</w:t>
      </w:r>
      <w:r>
        <w:rPr>
          <w:color w:val="000000"/>
          <w:sz w:val="20"/>
          <w:szCs w:val="20"/>
        </w:rPr>
        <w:t xml:space="preserve"> the Offer to Purchase and in the Letter of Transmittal (as they may be amended or supplemented), including the purposes and effects of the offer. Holders of Series A Preferred Stock are urged to discuss their decisions with their own tax advisors, financi</w:t>
      </w:r>
      <w:r>
        <w:rPr>
          <w:color w:val="000000"/>
          <w:sz w:val="20"/>
          <w:szCs w:val="20"/>
        </w:rPr>
        <w:t>al advisors and/or brokers.</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420"/>
      </w:tblGrid>
      <w:tr w:rsidR="00000000">
        <w:trPr>
          <w:divId w:val="1109816408"/>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r w:rsidR="00000000">
        <w:trPr>
          <w:divId w:val="1109816408"/>
          <w:trHeight w:val="225"/>
          <w:tblCellSpacing w:w="15" w:type="dxa"/>
        </w:trPr>
        <w:tc>
          <w:tcPr>
            <w:tcW w:w="0" w:type="auto"/>
            <w:tcBorders>
              <w:bottom w:val="single" w:sz="6" w:space="0" w:color="000000"/>
            </w:tcBorders>
            <w:vAlign w:val="center"/>
            <w:hideMark/>
          </w:tcPr>
          <w:p w:rsidR="00000000" w:rsidRDefault="00125B34">
            <w:pPr>
              <w:jc w:val="center"/>
              <w:rPr>
                <w:rFonts w:eastAsia="Times New Roman"/>
                <w:sz w:val="20"/>
                <w:szCs w:val="20"/>
              </w:rPr>
            </w:pPr>
            <w:r>
              <w:rPr>
                <w:rFonts w:eastAsia="Times New Roman"/>
                <w:sz w:val="20"/>
                <w:szCs w:val="20"/>
              </w:rPr>
              <w:t>1</w:t>
            </w:r>
          </w:p>
        </w:tc>
      </w:tr>
      <w:tr w:rsidR="00000000">
        <w:trPr>
          <w:divId w:val="1109816408"/>
          <w:trHeight w:val="225"/>
          <w:tblCellSpacing w:w="15" w:type="dxa"/>
        </w:trPr>
        <w:tc>
          <w:tcPr>
            <w:tcW w:w="0" w:type="auto"/>
            <w:vAlign w:val="center"/>
            <w:hideMark/>
          </w:tcPr>
          <w:p w:rsidR="00000000" w:rsidRDefault="00125B34">
            <w:pPr>
              <w:rPr>
                <w:rFonts w:eastAsia="Times New Roman"/>
                <w:sz w:val="20"/>
                <w:szCs w:val="20"/>
              </w:rPr>
            </w:pPr>
          </w:p>
        </w:tc>
      </w:tr>
      <w:tr w:rsidR="00000000">
        <w:trPr>
          <w:divId w:val="1109816408"/>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bl>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NEWS RELEASE FOR INFORMATIONAL PURPOSES ONLY</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This news release is for informational purposes only and is not an offer to buy or the solicitation of an offer to sell any shares of the Company’</w:t>
      </w:r>
      <w:r>
        <w:rPr>
          <w:color w:val="000000"/>
          <w:sz w:val="20"/>
          <w:szCs w:val="20"/>
        </w:rPr>
        <w:t>s Series A Preferred Stock. The offer is being made solely by the Offer to Purchase and the related Letter of Transmittal, as they may be amended or supplemented. Holders of Series A Preferred Stock and investors are urged to read the Company’s tender offe</w:t>
      </w:r>
      <w:r>
        <w:rPr>
          <w:color w:val="000000"/>
          <w:sz w:val="20"/>
          <w:szCs w:val="20"/>
        </w:rPr>
        <w:t>r statement on Schedule TO, which has been filed with the Commission in connection with the tender offer, which includes as exhibits the Offer to Purchase, the related Letter of Transmittal and other offer materials, as well as any amendments or supplement</w:t>
      </w:r>
      <w:r>
        <w:rPr>
          <w:color w:val="000000"/>
          <w:sz w:val="20"/>
          <w:szCs w:val="20"/>
        </w:rPr>
        <w:t>s to the Schedule TO when they become available, because they contain important information. Each of these documents have been filed with the Commission, and investors may obtain them for free from the Commission at its website (www.sec.gov) or from Allian</w:t>
      </w:r>
      <w:r>
        <w:rPr>
          <w:color w:val="000000"/>
          <w:sz w:val="20"/>
          <w:szCs w:val="20"/>
        </w:rPr>
        <w:t>ce Advisors, the information agent for the tender offer, by telephone at: (833) 214-3125 or via email at VIA@allianceadvisors.com.</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CAUTIONARY NOTE REGARDING FORWARD LOOKING STATEMENTS</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This press release contains forward-looking statements that are subject to a number of risks and uncertainties, many of which are beyond our control. These forward-looking statements within the meaning of Section 27A of the Securities Act of 1933, as amend</w:t>
      </w:r>
      <w:r>
        <w:rPr>
          <w:color w:val="000000"/>
          <w:sz w:val="20"/>
          <w:szCs w:val="20"/>
        </w:rPr>
        <w:t>ed (the “Securities Act”) and Section 21E of the Securities Exchange Act of 1934, as amended (the “Exchange Act”), can be identified by the use of forward-looking terminology including “may,” “should,” “could,” “likely,” “will,” “believe,” “expect,” “antic</w:t>
      </w:r>
      <w:r>
        <w:rPr>
          <w:color w:val="000000"/>
          <w:sz w:val="20"/>
          <w:szCs w:val="20"/>
        </w:rPr>
        <w:t xml:space="preserve">ipate,” “estimate,” “continue,” “plan,” “intend,” “project,” or other similar words. All statements, other than statements of historical fact, included in this press release are forward-looking statements. The forward-looking statements include statements </w:t>
      </w:r>
      <w:r>
        <w:rPr>
          <w:color w:val="000000"/>
          <w:sz w:val="20"/>
          <w:szCs w:val="20"/>
        </w:rPr>
        <w:t>regarding the impacts of Winter Storm Uri, cash flow generation and liquidity, business strategy, prospects for growth and acquisitions, outcomes of legal proceedings, the timing, availability, ability to pay and amount of cash dividends on our Series A Pr</w:t>
      </w:r>
      <w:r>
        <w:rPr>
          <w:color w:val="000000"/>
          <w:sz w:val="20"/>
          <w:szCs w:val="20"/>
        </w:rPr>
        <w:t>eferred Stock, future operations, financial position, estimated revenues and losses, projected costs, prospects, plans, objectives, beliefs of management, availability and terms of capital, competition, government regulation and general economic conditions</w:t>
      </w:r>
      <w:r>
        <w:rPr>
          <w:color w:val="000000"/>
          <w:sz w:val="20"/>
          <w:szCs w:val="20"/>
        </w:rPr>
        <w:t>. Although we believe that the expectations reflected in such forward-looking statements are reasonable, we cannot give any assurance that such expectations will prove correct.</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The forward-looking statements in this press release are subject to risks and</w:t>
      </w:r>
      <w:r>
        <w:rPr>
          <w:color w:val="000000"/>
          <w:sz w:val="20"/>
          <w:szCs w:val="20"/>
        </w:rPr>
        <w:t xml:space="preserve"> uncertainties. Important factors that could cause actual results to materially differ from those projected in the forward-looking statements include, but are not limited to:</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7"/>
        <w:gridCol w:w="402"/>
        <w:gridCol w:w="8601"/>
      </w:tblGrid>
      <w:tr w:rsidR="00000000">
        <w:trPr>
          <w:divId w:val="1109816408"/>
          <w:trHeight w:val="225"/>
          <w:tblCellSpacing w:w="15" w:type="dxa"/>
        </w:trPr>
        <w:tc>
          <w:tcPr>
            <w:tcW w:w="200" w:type="pct"/>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200" w:type="pct"/>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the ultimate impact of the Winter Storm Uri, including future benefi</w:t>
            </w:r>
            <w:r>
              <w:rPr>
                <w:rFonts w:eastAsia="Times New Roman"/>
                <w:sz w:val="20"/>
                <w:szCs w:val="20"/>
              </w:rPr>
              <w:t>ts or costs related to ERCOT market securitization efforts, and any action by the State of Texas, ERCOT, the Railroad Commission of Texas, or the Public Utility Commission of Texas;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changes in commodity prices, the margins we achieve, and interest rates;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the sufficiency of risk management and hedging policies and practices;</w:t>
            </w:r>
          </w:p>
        </w:tc>
      </w:tr>
    </w:tbl>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420"/>
      </w:tblGrid>
      <w:tr w:rsidR="00000000">
        <w:trPr>
          <w:divId w:val="1109816408"/>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r w:rsidR="00000000">
        <w:trPr>
          <w:divId w:val="1109816408"/>
          <w:trHeight w:val="225"/>
          <w:tblCellSpacing w:w="15" w:type="dxa"/>
        </w:trPr>
        <w:tc>
          <w:tcPr>
            <w:tcW w:w="0" w:type="auto"/>
            <w:tcBorders>
              <w:bottom w:val="single" w:sz="6" w:space="0" w:color="000000"/>
            </w:tcBorders>
            <w:vAlign w:val="center"/>
            <w:hideMark/>
          </w:tcPr>
          <w:p w:rsidR="00000000" w:rsidRDefault="00125B34">
            <w:pPr>
              <w:jc w:val="center"/>
              <w:rPr>
                <w:rFonts w:eastAsia="Times New Roman"/>
                <w:sz w:val="20"/>
                <w:szCs w:val="20"/>
              </w:rPr>
            </w:pPr>
            <w:r>
              <w:rPr>
                <w:rFonts w:eastAsia="Times New Roman"/>
                <w:sz w:val="20"/>
                <w:szCs w:val="20"/>
              </w:rPr>
              <w:t>2</w:t>
            </w:r>
          </w:p>
        </w:tc>
      </w:tr>
      <w:tr w:rsidR="00000000">
        <w:trPr>
          <w:divId w:val="1109816408"/>
          <w:trHeight w:val="225"/>
          <w:tblCellSpacing w:w="15" w:type="dxa"/>
        </w:trPr>
        <w:tc>
          <w:tcPr>
            <w:tcW w:w="0" w:type="auto"/>
            <w:vAlign w:val="center"/>
            <w:hideMark/>
          </w:tcPr>
          <w:p w:rsidR="00000000" w:rsidRDefault="00125B34">
            <w:pPr>
              <w:rPr>
                <w:rFonts w:eastAsia="Times New Roman"/>
                <w:sz w:val="20"/>
                <w:szCs w:val="20"/>
              </w:rPr>
            </w:pPr>
          </w:p>
        </w:tc>
      </w:tr>
      <w:tr w:rsidR="00000000">
        <w:trPr>
          <w:divId w:val="1109816408"/>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bl>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7"/>
        <w:gridCol w:w="402"/>
        <w:gridCol w:w="8601"/>
      </w:tblGrid>
      <w:tr w:rsidR="00000000">
        <w:trPr>
          <w:divId w:val="1109816408"/>
          <w:trHeight w:val="225"/>
          <w:tblCellSpacing w:w="15" w:type="dxa"/>
        </w:trPr>
        <w:tc>
          <w:tcPr>
            <w:tcW w:w="200" w:type="pct"/>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200" w:type="pct"/>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the impact of extreme and unpredictable weather conditions, including hurricanes, heat waves and other natural disasters;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federal, state and local regulations, including the industry’s ability to address or adapt to potentially restrictive new r</w:t>
            </w:r>
            <w:r>
              <w:rPr>
                <w:rFonts w:eastAsia="Times New Roman"/>
                <w:sz w:val="20"/>
                <w:szCs w:val="20"/>
              </w:rPr>
              <w:t>egulations that may be enacted by public utility commissions;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our ability to borrow funds and access credit markets;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restrictions and covenants in our debt agreements and collateral requirements;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credit risk with respect to suppliers and customers;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our ability to acquire customers and actual attrition rates;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changes in costs to acquire customers;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accuracy of billing systems;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our ability to successfully identify, complete, and efficiently integrate acquisitions into our operations;</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significant changes in, or new changes by, the independent system operators (“ISOs”) in the regions we operate;</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risks related to our recently completed Merger including the outcome of any legal proceedings, regulatory proceedings or enforcement matters that may be instituted against us and others relating to the Merger or otherwise, the impact of the Merger on our o</w:t>
            </w:r>
            <w:r>
              <w:rPr>
                <w:rFonts w:eastAsia="Times New Roman"/>
                <w:sz w:val="20"/>
                <w:szCs w:val="20"/>
              </w:rPr>
              <w:t>perations and the amount of the costs fees, expenses and charges related to Merger;</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competition; and</w:t>
            </w:r>
          </w:p>
        </w:tc>
      </w:tr>
      <w:tr w:rsidR="00000000">
        <w:trPr>
          <w:divId w:val="1109816408"/>
          <w:trHeight w:val="225"/>
          <w:tblCellSpacing w:w="15" w:type="dxa"/>
        </w:trPr>
        <w:tc>
          <w:tcPr>
            <w:tcW w:w="0" w:type="auto"/>
            <w:vAlign w:val="center"/>
            <w:hideMark/>
          </w:tcPr>
          <w:p w:rsidR="00000000" w:rsidRDefault="00125B34">
            <w:pPr>
              <w:pStyle w:val="NormalWeb"/>
              <w:spacing w:before="0" w:beforeAutospacing="0" w:after="0" w:afterAutospacing="0"/>
              <w:jc w:val="both"/>
              <w:rPr>
                <w:sz w:val="20"/>
                <w:szCs w:val="20"/>
              </w:rPr>
            </w:pPr>
            <w:r>
              <w:rPr>
                <w:sz w:val="20"/>
                <w:szCs w:val="20"/>
              </w:rPr>
              <w:t> </w:t>
            </w:r>
          </w:p>
        </w:tc>
        <w:tc>
          <w:tcPr>
            <w:tcW w:w="0" w:type="auto"/>
            <w:hideMark/>
          </w:tcPr>
          <w:p w:rsidR="00000000" w:rsidRDefault="00125B34">
            <w:pPr>
              <w:pStyle w:val="NormalWeb"/>
              <w:spacing w:before="0" w:beforeAutospacing="0" w:after="0" w:afterAutospacing="0"/>
              <w:jc w:val="both"/>
              <w:rPr>
                <w:sz w:val="20"/>
                <w:szCs w:val="20"/>
              </w:rPr>
            </w:pPr>
            <w:r>
              <w:rPr>
                <w:sz w:val="20"/>
                <w:szCs w:val="20"/>
              </w:rPr>
              <w:t>●</w:t>
            </w:r>
          </w:p>
        </w:tc>
        <w:tc>
          <w:tcPr>
            <w:tcW w:w="0" w:type="auto"/>
            <w:hideMark/>
          </w:tcPr>
          <w:p w:rsidR="00000000" w:rsidRDefault="00125B34">
            <w:pPr>
              <w:jc w:val="both"/>
              <w:rPr>
                <w:rFonts w:eastAsia="Times New Roman"/>
                <w:sz w:val="20"/>
                <w:szCs w:val="20"/>
              </w:rPr>
            </w:pPr>
            <w:r>
              <w:rPr>
                <w:rFonts w:eastAsia="Times New Roman"/>
                <w:sz w:val="20"/>
                <w:szCs w:val="20"/>
              </w:rPr>
              <w:t xml:space="preserve">the “Risk Factors” </w:t>
            </w:r>
            <w:r>
              <w:rPr>
                <w:rFonts w:eastAsia="Times New Roman"/>
                <w:sz w:val="20"/>
                <w:szCs w:val="20"/>
              </w:rPr>
              <w:t>in our Annual Report on Form 10-K for the year ended December 31, 2023, subsequent Quarterly Reports on Form 10-Q, and other public filings and press releases.</w:t>
            </w:r>
          </w:p>
        </w:tc>
      </w:tr>
    </w:tbl>
    <w:p w:rsidR="00000000" w:rsidRDefault="00125B34">
      <w:pPr>
        <w:jc w:val="both"/>
        <w:divId w:val="1109816408"/>
        <w:rPr>
          <w:rFonts w:eastAsia="Times New Roman"/>
          <w:color w:val="000000"/>
          <w:sz w:val="20"/>
          <w:szCs w:val="20"/>
        </w:rPr>
      </w:pPr>
      <w:r>
        <w:rPr>
          <w:rFonts w:eastAsia="Times New Roman"/>
          <w:color w:val="000000"/>
          <w:sz w:val="20"/>
          <w:szCs w:val="20"/>
        </w:rPr>
        <w:t xml:space="preserve">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You should review the risk factors and other factors noted throughout this press release that</w:t>
      </w:r>
      <w:r>
        <w:rPr>
          <w:color w:val="000000"/>
          <w:sz w:val="20"/>
          <w:szCs w:val="20"/>
        </w:rPr>
        <w:t xml:space="preserve"> could cause our actual results to differ materially from those contained in any forward-looking statement. All forward-looking statements speak only as of the date of this press release. Unless required by law, we disclaim any obligation to publicly updat</w:t>
      </w:r>
      <w:r>
        <w:rPr>
          <w:color w:val="000000"/>
          <w:sz w:val="20"/>
          <w:szCs w:val="20"/>
        </w:rPr>
        <w:t>e or revise these statements whether as a result of new information, future events or otherwise. It is not possible for us to predict all risks, nor can we assess the impact of all factors on the business or the extent to which any factor, or combination o</w:t>
      </w:r>
      <w:r>
        <w:rPr>
          <w:color w:val="000000"/>
          <w:sz w:val="20"/>
          <w:szCs w:val="20"/>
        </w:rPr>
        <w:t>f factors, may cause actual results to differ materially from those contained in any forward-looking statements</w:t>
      </w:r>
      <w:r>
        <w:rPr>
          <w:rStyle w:val="Strong"/>
          <w:color w:val="000000"/>
          <w:sz w:val="20"/>
          <w:szCs w:val="20"/>
        </w:rPr>
        <w:t>.</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ABOUT VIA RENEWABLES, INC.</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xml:space="preserve">Via Renewables, Inc. is an independent retail energy services company founded in 1999 that provides residential and commercial customers in competitive markets across the United States with an alternative choice for their natural gas and electricity under </w:t>
      </w:r>
      <w:r>
        <w:rPr>
          <w:color w:val="000000"/>
          <w:sz w:val="20"/>
          <w:szCs w:val="20"/>
        </w:rPr>
        <w:t>our well-established and well-regarded brands, including Spark Energy, Major Energy, Provider Power, and Verde Energy. Headquartered in Houston, Texas, Via Renewables currently operates in 20 states and serves 104 utility territories. Via Renewables offers</w:t>
      </w:r>
      <w:r>
        <w:rPr>
          <w:color w:val="000000"/>
          <w:sz w:val="20"/>
          <w:szCs w:val="20"/>
        </w:rPr>
        <w:t xml:space="preserve"> its customers a variety of product and service choices, including stable and predictable energy costs and green product alternatives.</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We use our website as a means of disclosing material non-public information and for complying with our disclosure oblig</w:t>
      </w:r>
      <w:r>
        <w:rPr>
          <w:color w:val="000000"/>
          <w:sz w:val="20"/>
          <w:szCs w:val="20"/>
        </w:rPr>
        <w:t xml:space="preserve">ations under Regulation FD. Investors should note that new materials, including press releases, updated investor presentations, and financial and other filings with the Securities and Exchange Commission are posted on the Via Renewables Investor Relations </w:t>
      </w:r>
      <w:r>
        <w:rPr>
          <w:color w:val="000000"/>
          <w:sz w:val="20"/>
          <w:szCs w:val="20"/>
        </w:rPr>
        <w:t>website at ViaRenewables.com. Investors are urged to monitor our website regularly for information and updates about the Company.</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Contact:</w:t>
      </w:r>
      <w:r>
        <w:rPr>
          <w:color w:val="000000"/>
          <w:sz w:val="20"/>
          <w:szCs w:val="20"/>
        </w:rPr>
        <w:t> Via Renewables, Inc.</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Investors:</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Stephen Rabalais, 832-200-3727</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rStyle w:val="Strong"/>
          <w:color w:val="000000"/>
          <w:sz w:val="20"/>
          <w:szCs w:val="20"/>
        </w:rPr>
        <w:t>Media:</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Kira Jordan, 832-255-7302</w:t>
      </w:r>
    </w:p>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420"/>
      </w:tblGrid>
      <w:tr w:rsidR="00000000">
        <w:trPr>
          <w:divId w:val="1109816408"/>
          <w:trHeight w:val="225"/>
          <w:tblCellSpacing w:w="15" w:type="dxa"/>
        </w:trPr>
        <w:tc>
          <w:tcPr>
            <w:tcW w:w="0" w:type="auto"/>
            <w:vAlign w:val="center"/>
            <w:hideMark/>
          </w:tcPr>
          <w:p w:rsidR="00000000" w:rsidRDefault="00125B34">
            <w:pPr>
              <w:rPr>
                <w:rFonts w:eastAsia="Times New Roman"/>
                <w:sz w:val="20"/>
                <w:szCs w:val="20"/>
              </w:rPr>
            </w:pPr>
            <w:r>
              <w:rPr>
                <w:rFonts w:eastAsia="Times New Roman"/>
                <w:sz w:val="20"/>
                <w:szCs w:val="20"/>
              </w:rPr>
              <w:t> </w:t>
            </w:r>
          </w:p>
        </w:tc>
      </w:tr>
      <w:tr w:rsidR="00000000">
        <w:trPr>
          <w:divId w:val="1109816408"/>
          <w:trHeight w:val="225"/>
          <w:tblCellSpacing w:w="15" w:type="dxa"/>
        </w:trPr>
        <w:tc>
          <w:tcPr>
            <w:tcW w:w="0" w:type="auto"/>
            <w:tcBorders>
              <w:bottom w:val="single" w:sz="6" w:space="0" w:color="000000"/>
            </w:tcBorders>
            <w:vAlign w:val="center"/>
            <w:hideMark/>
          </w:tcPr>
          <w:p w:rsidR="00000000" w:rsidRDefault="00125B34">
            <w:pPr>
              <w:jc w:val="center"/>
              <w:rPr>
                <w:rFonts w:eastAsia="Times New Roman"/>
                <w:sz w:val="20"/>
                <w:szCs w:val="20"/>
              </w:rPr>
            </w:pPr>
            <w:r>
              <w:rPr>
                <w:rFonts w:eastAsia="Times New Roman"/>
                <w:sz w:val="20"/>
                <w:szCs w:val="20"/>
              </w:rPr>
              <w:t>3</w:t>
            </w:r>
          </w:p>
        </w:tc>
      </w:tr>
    </w:tbl>
    <w:p w:rsidR="00000000" w:rsidRDefault="00125B34">
      <w:pPr>
        <w:pStyle w:val="NormalWeb"/>
        <w:spacing w:before="0" w:beforeAutospacing="0" w:after="0" w:afterAutospacing="0"/>
        <w:jc w:val="both"/>
        <w:divId w:val="1109816408"/>
        <w:rPr>
          <w:color w:val="000000"/>
          <w:sz w:val="20"/>
          <w:szCs w:val="20"/>
        </w:rPr>
      </w:pPr>
      <w:r>
        <w:rPr>
          <w:color w:val="000000"/>
          <w:sz w:val="20"/>
          <w:szCs w:val="20"/>
        </w:rPr>
        <w:t> </w:t>
      </w:r>
    </w:p>
    <w:p w:rsidR="00000000" w:rsidRDefault="00125B34">
      <w:pPr>
        <w:jc w:val="both"/>
        <w:divId w:val="188834134"/>
        <w:rPr>
          <w:rFonts w:eastAsia="Times New Roman"/>
          <w:color w:val="000000"/>
          <w:sz w:val="20"/>
          <w:szCs w:val="20"/>
        </w:rPr>
      </w:pPr>
      <w:r>
        <w:rPr>
          <w:rFonts w:eastAsia="Times New Roman"/>
          <w:color w:val="000000"/>
          <w:sz w:val="20"/>
          <w:szCs w:val="20"/>
        </w:rPr>
        <w:t> </w:t>
      </w:r>
    </w:p>
    <w:p w:rsidR="00000000" w:rsidRDefault="00125B34">
      <w:pPr>
        <w:jc w:val="center"/>
        <w:divId w:val="952173101"/>
        <w:rPr>
          <w:rFonts w:eastAsia="Times New Roman"/>
          <w:b/>
          <w:bCs/>
          <w:color w:val="000000"/>
          <w:sz w:val="30"/>
          <w:szCs w:val="30"/>
        </w:rPr>
      </w:pPr>
      <w:r>
        <w:rPr>
          <w:rFonts w:eastAsia="Times New Roman"/>
          <w:color w:val="000000"/>
          <w:sz w:val="20"/>
          <w:szCs w:val="20"/>
        </w:rPr>
        <w:pict/>
      </w:r>
      <w:r>
        <w:rPr>
          <w:rFonts w:eastAsia="Times New Roman"/>
          <w:b/>
          <w:bCs/>
          <w:color w:val="000000"/>
          <w:sz w:val="30"/>
          <w:szCs w:val="30"/>
        </w:rPr>
        <w:t>THIS PAGE IS INTENTIONALLY LEFT BLANK</w:t>
      </w:r>
      <w:r>
        <w:rPr>
          <w:rFonts w:eastAsia="Times New Roman"/>
          <w:b/>
          <w:bCs/>
          <w:color w:val="000000"/>
          <w:sz w:val="30"/>
          <w:szCs w:val="30"/>
        </w:rPr>
        <w:br/>
        <w:t>IT IS NOT A PART OF EDGAR SUBMISSION</w:t>
      </w:r>
    </w:p>
    <w:p w:rsidR="00000000" w:rsidRDefault="00125B34">
      <w:pPr>
        <w:pStyle w:val="Heading4"/>
        <w:shd w:val="clear" w:color="auto" w:fill="FEFEFE"/>
        <w:jc w:val="both"/>
        <w:divId w:val="2028630633"/>
        <w:rPr>
          <w:rFonts w:eastAsia="Times New Roman"/>
          <w:vanish/>
          <w:color w:val="000000"/>
        </w:rPr>
      </w:pPr>
      <w:r>
        <w:rPr>
          <w:rFonts w:eastAsia="Times New Roman"/>
          <w:vanish/>
          <w:color w:val="000000"/>
        </w:rPr>
        <w:t>View &amp; Add Comments</w:t>
      </w:r>
    </w:p>
    <w:p w:rsidR="00000000" w:rsidRDefault="00125B34">
      <w:pPr>
        <w:shd w:val="clear" w:color="auto" w:fill="FEFEFE"/>
        <w:jc w:val="both"/>
        <w:divId w:val="999045237"/>
        <w:rPr>
          <w:rFonts w:eastAsia="Times New Roman"/>
          <w:vanish/>
          <w:color w:val="000000"/>
          <w:sz w:val="20"/>
          <w:szCs w:val="20"/>
        </w:rPr>
      </w:pPr>
      <w:r>
        <w:rPr>
          <w:rFonts w:eastAsia="Times New Roman"/>
          <w:vanish/>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7" o:title=""/>
          </v:shape>
          <w:control r:id="rId8" w:name="DefaultOcxName" w:shapeid="_x0000_i1032"/>
        </w:object>
      </w:r>
    </w:p>
    <w:p w:rsidR="00000000" w:rsidRDefault="00125B34">
      <w:pPr>
        <w:shd w:val="clear" w:color="auto" w:fill="FEFEFE"/>
        <w:jc w:val="both"/>
        <w:divId w:val="1029843917"/>
        <w:rPr>
          <w:rFonts w:eastAsia="Times New Roman"/>
          <w:vanish/>
          <w:color w:val="000000"/>
          <w:sz w:val="20"/>
          <w:szCs w:val="20"/>
        </w:rPr>
      </w:pPr>
      <w:r>
        <w:rPr>
          <w:rFonts w:eastAsia="Times New Roman"/>
          <w:vanish/>
          <w:color w:val="000000"/>
          <w:sz w:val="20"/>
          <w:szCs w:val="20"/>
        </w:rPr>
        <w:t>Page No.</w:t>
      </w:r>
      <w:r>
        <w:rPr>
          <w:rFonts w:eastAsia="Times New Roman"/>
          <w:vanish/>
          <w:color w:val="000000"/>
          <w:sz w:val="20"/>
          <w:szCs w:val="20"/>
        </w:rPr>
        <w:t>:</w:t>
      </w:r>
      <w:r>
        <w:rPr>
          <w:rFonts w:eastAsia="Times New Roman"/>
          <w:vanish/>
          <w:color w:val="000000"/>
          <w:sz w:val="20"/>
          <w:szCs w:val="20"/>
        </w:rPr>
        <w:object w:dxaOrig="1440" w:dyaOrig="1440">
          <v:shape id="_x0000_i1035" type="#_x0000_t75" style="width:1in;height:18pt" o:ole="">
            <v:imagedata r:id="rId9" o:title=""/>
          </v:shape>
          <w:control r:id="rId10" w:name="DefaultOcxName1" w:shapeid="_x0000_i1035"/>
        </w:object>
      </w:r>
    </w:p>
    <w:p w:rsidR="00000000" w:rsidRDefault="00125B34">
      <w:pPr>
        <w:shd w:val="clear" w:color="auto" w:fill="FEFEFE"/>
        <w:jc w:val="both"/>
        <w:divId w:val="2023244416"/>
        <w:rPr>
          <w:rFonts w:eastAsia="Times New Roman"/>
          <w:vanish/>
          <w:color w:val="000000"/>
          <w:sz w:val="20"/>
          <w:szCs w:val="20"/>
        </w:rPr>
      </w:pPr>
      <w:r>
        <w:rPr>
          <w:rFonts w:eastAsia="Times New Roman"/>
          <w:vanish/>
          <w:color w:val="000000"/>
          <w:sz w:val="20"/>
          <w:szCs w:val="20"/>
        </w:rPr>
        <w:t>Reviewer</w:t>
      </w:r>
      <w:r>
        <w:rPr>
          <w:rFonts w:eastAsia="Times New Roman"/>
          <w:vanish/>
          <w:color w:val="000000"/>
          <w:sz w:val="20"/>
          <w:szCs w:val="20"/>
        </w:rPr>
        <w:t>:</w:t>
      </w:r>
      <w:r>
        <w:rPr>
          <w:rFonts w:eastAsia="Times New Roman"/>
          <w:vanish/>
          <w:color w:val="000000"/>
          <w:sz w:val="20"/>
          <w:szCs w:val="20"/>
        </w:rPr>
        <w:object w:dxaOrig="1440" w:dyaOrig="1440">
          <v:shape id="_x0000_i1038" type="#_x0000_t75" style="width:1in;height:18pt" o:ole="">
            <v:imagedata r:id="rId9" o:title=""/>
          </v:shape>
          <w:control r:id="rId11" w:name="DefaultOcxName2" w:shapeid="_x0000_i1038"/>
        </w:object>
      </w:r>
    </w:p>
    <w:p w:rsidR="00000000" w:rsidRDefault="00125B34">
      <w:pPr>
        <w:shd w:val="clear" w:color="auto" w:fill="FEFEFE"/>
        <w:jc w:val="both"/>
        <w:divId w:val="2142452228"/>
        <w:rPr>
          <w:rFonts w:eastAsia="Times New Roman"/>
          <w:vanish/>
          <w:color w:val="000000"/>
          <w:sz w:val="20"/>
          <w:szCs w:val="20"/>
        </w:rPr>
      </w:pPr>
      <w:r>
        <w:rPr>
          <w:rFonts w:eastAsia="Times New Roman"/>
          <w:vanish/>
          <w:color w:val="000000"/>
          <w:sz w:val="20"/>
          <w:szCs w:val="20"/>
        </w:rPr>
        <w:object w:dxaOrig="1440" w:dyaOrig="1440">
          <v:shape id="_x0000_i1041" type="#_x0000_t75" style="width:1in;height:18pt" o:ole="">
            <v:imagedata r:id="rId9" o:title=""/>
          </v:shape>
          <w:control r:id="rId12" w:name="DefaultOcxName3" w:shapeid="_x0000_i1041"/>
        </w:object>
      </w:r>
    </w:p>
    <w:p w:rsidR="00000000" w:rsidRDefault="00125B34">
      <w:pPr>
        <w:shd w:val="clear" w:color="auto" w:fill="FEFEFE"/>
        <w:jc w:val="both"/>
        <w:divId w:val="854686964"/>
        <w:rPr>
          <w:rFonts w:eastAsia="Times New Roman"/>
          <w:vanish/>
          <w:color w:val="000000"/>
          <w:sz w:val="20"/>
          <w:szCs w:val="20"/>
        </w:rPr>
      </w:pPr>
      <w:r>
        <w:rPr>
          <w:rFonts w:eastAsia="Times New Roman"/>
          <w:vanish/>
          <w:color w:val="000000"/>
          <w:sz w:val="20"/>
          <w:szCs w:val="20"/>
        </w:rPr>
        <w:t>Ad</w:t>
      </w:r>
      <w:r>
        <w:rPr>
          <w:rFonts w:eastAsia="Times New Roman"/>
          <w:vanish/>
          <w:color w:val="000000"/>
          <w:sz w:val="20"/>
          <w:szCs w:val="20"/>
        </w:rPr>
        <w:t>d</w:t>
      </w:r>
      <w:r>
        <w:rPr>
          <w:rFonts w:eastAsia="Times New Roman"/>
          <w:vanish/>
          <w:color w:val="000000"/>
          <w:sz w:val="20"/>
          <w:szCs w:val="20"/>
        </w:rPr>
        <w:t xml:space="preserve"> </w:t>
      </w:r>
    </w:p>
    <w:p w:rsidR="00000000" w:rsidRDefault="00125B34">
      <w:pPr>
        <w:shd w:val="clear" w:color="auto" w:fill="FEFEFE"/>
        <w:jc w:val="both"/>
        <w:divId w:val="2009819604"/>
        <w:rPr>
          <w:rFonts w:eastAsia="Times New Roman"/>
          <w:vanish/>
          <w:color w:val="000000"/>
          <w:sz w:val="20"/>
          <w:szCs w:val="20"/>
        </w:rPr>
      </w:pPr>
      <w:r>
        <w:rPr>
          <w:rFonts w:eastAsia="Times New Roman"/>
          <w:vanish/>
          <w:color w:val="000000"/>
          <w:sz w:val="20"/>
          <w:szCs w:val="20"/>
        </w:rPr>
        <w:t>Clos</w:t>
      </w:r>
      <w:r>
        <w:rPr>
          <w:rFonts w:eastAsia="Times New Roman"/>
          <w:vanish/>
          <w:color w:val="000000"/>
          <w:sz w:val="20"/>
          <w:szCs w:val="20"/>
        </w:rPr>
        <w:t>e</w:t>
      </w:r>
      <w:r>
        <w:rPr>
          <w:rFonts w:eastAsia="Times New Roman"/>
          <w:vanish/>
          <w:color w:val="000000"/>
          <w:sz w:val="20"/>
          <w:szCs w:val="20"/>
        </w:rPr>
        <w:t xml:space="preserve"> </w:t>
      </w:r>
    </w:p>
    <w:p w:rsidR="00000000" w:rsidRDefault="00125B34">
      <w:pPr>
        <w:pStyle w:val="Heading4"/>
        <w:shd w:val="clear" w:color="auto" w:fill="FEFEFE"/>
        <w:jc w:val="both"/>
        <w:divId w:val="193275150"/>
        <w:rPr>
          <w:rFonts w:eastAsia="Times New Roman"/>
          <w:vanish/>
          <w:color w:val="000000"/>
        </w:rPr>
      </w:pPr>
      <w:r>
        <w:rPr>
          <w:rFonts w:eastAsia="Times New Roman"/>
          <w:vanish/>
          <w:color w:val="000000"/>
        </w:rPr>
        <w:t>View All Comments</w:t>
      </w:r>
    </w:p>
    <w:p w:rsidR="00000000" w:rsidRDefault="00125B34">
      <w:pPr>
        <w:shd w:val="clear" w:color="auto" w:fill="FEFEFE"/>
        <w:jc w:val="both"/>
        <w:divId w:val="641617797"/>
        <w:rPr>
          <w:rFonts w:eastAsia="Times New Roman"/>
          <w:vanish/>
          <w:color w:val="000000"/>
          <w:sz w:val="20"/>
          <w:szCs w:val="20"/>
        </w:rPr>
      </w:pPr>
      <w:r>
        <w:rPr>
          <w:rFonts w:eastAsia="Times New Roman"/>
          <w:vanish/>
          <w:color w:val="000000"/>
          <w:sz w:val="20"/>
          <w:szCs w:val="20"/>
        </w:rPr>
        <w:t>Clos</w:t>
      </w:r>
      <w:r>
        <w:rPr>
          <w:rFonts w:eastAsia="Times New Roman"/>
          <w:vanish/>
          <w:color w:val="000000"/>
          <w:sz w:val="20"/>
          <w:szCs w:val="20"/>
        </w:rPr>
        <w:t>e</w:t>
      </w:r>
      <w:r>
        <w:rPr>
          <w:rFonts w:eastAsia="Times New Roman"/>
          <w:vanish/>
          <w:color w:val="000000"/>
          <w:sz w:val="20"/>
          <w:szCs w:val="20"/>
        </w:rPr>
        <w:t xml:space="preserve"> </w:t>
      </w:r>
    </w:p>
    <w:p w:rsidR="00000000" w:rsidRDefault="00125B34">
      <w:pPr>
        <w:rPr>
          <w:rFonts w:eastAsia="Times New Roman"/>
        </w:rPr>
      </w:pPr>
      <w:r>
        <w:rPr>
          <w:rFonts w:eastAsia="Times New Roman"/>
          <w:vanish/>
          <w:color w:val="000000"/>
          <w:sz w:val="20"/>
          <w:szCs w:val="20"/>
        </w:rPr>
        <w:pic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4"/>
  </w:compat>
  <w:rsids>
    <w:rsidRoot w:val="00125B34"/>
    <w:rsid w:val="00125B34"/>
  </w:rsids>
  <m:mathPr>
    <m:mathFont m:val="Cambria Math"/>
    <m:brkBin m:val="before"/>
    <m:brkBinSub m:val="--"/>
    <m:smallFrac m:val="0"/>
    <m:dispDef/>
    <m:lMargin m:val="0"/>
    <m:rMargin m:val="0"/>
    <m:defJc m:val="centerGroup"/>
    <m:wrapIndent m:val="1440"/>
    <m:intLim m:val="subSup"/>
    <m:naryLim m:val="undOvr"/>
  </m:mathPr>
  <w:attachedSchema w:val="http://www.xbrl.org/2013/inlineXBRL"/>
  <w:attachedSchema w:val="http://www.xbrl.org/inlineXBRL/transformation/2015-02-26"/>
  <w:attachedSchema w:val="http://www.sec.gov/inlineXBRL/transformation/2015-08-31"/>
  <w:attachedSchema w:val="http://xbrl.sec.gov/currency/2024"/>
  <w:attachedSchema w:val="http://www.w3.org/1999/xlink"/>
  <w:attachedSchema w:val="http://www.xbrl.org/2003/linkbase"/>
  <w:attachedSchema w:val="http://www.xbrl.org/2003/instance"/>
  <w:attachedSchema w:val="http://xbrl.org/2005/xbrldt"/>
  <w:attachedSchema w:val="http://xbrl.org/2006/xbrldi"/>
  <w:attachedSchema w:val="http://xbrl.sec.gov/dei/2024"/>
  <w:attachedSchema w:val="http://www.xbrl.org/dtr/type/numeric"/>
  <w:attachedSchema w:val="http://www.xbrl.org/dtr/type/non-numeric"/>
  <w:attachedSchema w:val="http://www.xbrl.org/2006/ref"/>
  <w:attachedSchema w:val="http://www.xbrl.org/2003/iso4217"/>
  <w:attachedSchema w:val="http://fasb.org/us-roles/2024"/>
  <w:attachedSchema w:val="http://xbrl.sec.gov/country/2024"/>
  <w:attachedSchema w:val="http://www.xbrl.org/2009/utr"/>
  <w:attachedSchema w:val="http://fasb.org/srt-types/2024"/>
  <w:attachedSchema w:val="http://www.xbrl.org/dtr/type/2020-01-21"/>
  <w:attachedSchema w:val="http://fasb.org/srt/2024"/>
  <w:attachedSchema w:val="http://fasb.org/us-gaap/2024"/>
  <w:attachedSchema w:val="http://xbrl.sec.gov/ecd/2024"/>
  <w:attachedSchema w:val="http://xbrl.sec.gov/ffd/2024q2"/>
  <w:attachedSchema w:val="http://via.com/20250227"/>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dal">
    <w:name w:val="modal"/>
    <w:basedOn w:val="Normal"/>
    <w:pPr>
      <w:shd w:val="clear" w:color="auto" w:fill="000000"/>
      <w:spacing w:before="100" w:beforeAutospacing="1" w:after="100" w:afterAutospacing="1"/>
    </w:pPr>
    <w:rPr>
      <w:vanish/>
    </w:rPr>
  </w:style>
  <w:style w:type="paragraph" w:customStyle="1" w:styleId="modal-content">
    <w:name w:val="modal-content"/>
    <w:basedOn w:val="Normal"/>
    <w:pPr>
      <w:pBdr>
        <w:top w:val="single" w:sz="6" w:space="15" w:color="888888"/>
        <w:left w:val="single" w:sz="6" w:space="15" w:color="888888"/>
        <w:bottom w:val="single" w:sz="6" w:space="15" w:color="888888"/>
        <w:right w:val="single" w:sz="6" w:space="15" w:color="888888"/>
      </w:pBdr>
      <w:shd w:val="clear" w:color="auto" w:fill="FEFEFE"/>
      <w:spacing w:before="15" w:after="15"/>
    </w:pPr>
  </w:style>
  <w:style w:type="paragraph" w:customStyle="1" w:styleId="close">
    <w:name w:val="close"/>
    <w:basedOn w:val="Normal"/>
    <w:pPr>
      <w:spacing w:before="100" w:beforeAutospacing="1" w:after="100" w:afterAutospacing="1"/>
    </w:pPr>
    <w:rPr>
      <w:b/>
      <w:bCs/>
      <w:color w:val="AAAAAA"/>
      <w:sz w:val="42"/>
      <w:szCs w:val="4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dal">
    <w:name w:val="modal"/>
    <w:basedOn w:val="Normal"/>
    <w:pPr>
      <w:shd w:val="clear" w:color="auto" w:fill="000000"/>
      <w:spacing w:before="100" w:beforeAutospacing="1" w:after="100" w:afterAutospacing="1"/>
    </w:pPr>
    <w:rPr>
      <w:vanish/>
    </w:rPr>
  </w:style>
  <w:style w:type="paragraph" w:customStyle="1" w:styleId="modal-content">
    <w:name w:val="modal-content"/>
    <w:basedOn w:val="Normal"/>
    <w:pPr>
      <w:pBdr>
        <w:top w:val="single" w:sz="6" w:space="15" w:color="888888"/>
        <w:left w:val="single" w:sz="6" w:space="15" w:color="888888"/>
        <w:bottom w:val="single" w:sz="6" w:space="15" w:color="888888"/>
        <w:right w:val="single" w:sz="6" w:space="15" w:color="888888"/>
      </w:pBdr>
      <w:shd w:val="clear" w:color="auto" w:fill="FEFEFE"/>
      <w:spacing w:before="15" w:after="15"/>
    </w:pPr>
  </w:style>
  <w:style w:type="paragraph" w:customStyle="1" w:styleId="close">
    <w:name w:val="close"/>
    <w:basedOn w:val="Normal"/>
    <w:pPr>
      <w:spacing w:before="100" w:beforeAutospacing="1" w:after="100" w:afterAutospacing="1"/>
    </w:pPr>
    <w:rPr>
      <w:b/>
      <w:bCs/>
      <w:color w:val="AAAAAA"/>
      <w:sz w:val="42"/>
      <w:szCs w:val="4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514">
      <w:marLeft w:val="-105"/>
      <w:marRight w:val="-105"/>
      <w:marTop w:val="0"/>
      <w:marBottom w:val="0"/>
      <w:divBdr>
        <w:top w:val="none" w:sz="0" w:space="0" w:color="auto"/>
        <w:left w:val="none" w:sz="0" w:space="0" w:color="auto"/>
        <w:bottom w:val="none" w:sz="0" w:space="0" w:color="auto"/>
        <w:right w:val="none" w:sz="0" w:space="0" w:color="auto"/>
      </w:divBdr>
    </w:div>
    <w:div w:id="188834134">
      <w:marLeft w:val="0"/>
      <w:marRight w:val="0"/>
      <w:marTop w:val="0"/>
      <w:marBottom w:val="0"/>
      <w:divBdr>
        <w:top w:val="none" w:sz="0" w:space="0" w:color="auto"/>
        <w:left w:val="none" w:sz="0" w:space="0" w:color="auto"/>
        <w:bottom w:val="none" w:sz="0" w:space="0" w:color="auto"/>
        <w:right w:val="none" w:sz="0" w:space="0" w:color="auto"/>
      </w:divBdr>
    </w:div>
    <w:div w:id="565190829">
      <w:marLeft w:val="0"/>
      <w:marRight w:val="0"/>
      <w:marTop w:val="0"/>
      <w:marBottom w:val="0"/>
      <w:divBdr>
        <w:top w:val="none" w:sz="0" w:space="0" w:color="auto"/>
        <w:left w:val="none" w:sz="0" w:space="0" w:color="auto"/>
        <w:bottom w:val="none" w:sz="0" w:space="0" w:color="auto"/>
        <w:right w:val="none" w:sz="0" w:space="0" w:color="auto"/>
      </w:divBdr>
    </w:div>
    <w:div w:id="630746744">
      <w:marLeft w:val="0"/>
      <w:marRight w:val="0"/>
      <w:marTop w:val="0"/>
      <w:marBottom w:val="0"/>
      <w:divBdr>
        <w:top w:val="none" w:sz="0" w:space="0" w:color="auto"/>
        <w:left w:val="none" w:sz="0" w:space="0" w:color="auto"/>
        <w:bottom w:val="none" w:sz="0" w:space="0" w:color="auto"/>
        <w:right w:val="none" w:sz="0" w:space="0" w:color="auto"/>
      </w:divBdr>
    </w:div>
    <w:div w:id="952173101">
      <w:marLeft w:val="0"/>
      <w:marRight w:val="0"/>
      <w:marTop w:val="1500"/>
      <w:marBottom w:val="1500"/>
      <w:divBdr>
        <w:top w:val="none" w:sz="0" w:space="0" w:color="auto"/>
        <w:left w:val="none" w:sz="0" w:space="0" w:color="auto"/>
        <w:bottom w:val="none" w:sz="0" w:space="0" w:color="auto"/>
        <w:right w:val="none" w:sz="0" w:space="0" w:color="auto"/>
      </w:divBdr>
    </w:div>
    <w:div w:id="1109816408">
      <w:marLeft w:val="0"/>
      <w:marRight w:val="0"/>
      <w:marTop w:val="0"/>
      <w:marBottom w:val="0"/>
      <w:divBdr>
        <w:top w:val="none" w:sz="0" w:space="0" w:color="auto"/>
        <w:left w:val="none" w:sz="0" w:space="0" w:color="auto"/>
        <w:bottom w:val="none" w:sz="0" w:space="0" w:color="auto"/>
        <w:right w:val="none" w:sz="0" w:space="0" w:color="auto"/>
      </w:divBdr>
    </w:div>
    <w:div w:id="1859270280">
      <w:marLeft w:val="0"/>
      <w:marRight w:val="0"/>
      <w:marTop w:val="0"/>
      <w:marBottom w:val="0"/>
      <w:divBdr>
        <w:top w:val="none" w:sz="0" w:space="0" w:color="auto"/>
        <w:left w:val="none" w:sz="0" w:space="0" w:color="auto"/>
        <w:bottom w:val="none" w:sz="0" w:space="0" w:color="auto"/>
        <w:right w:val="none" w:sz="0" w:space="0" w:color="auto"/>
      </w:divBdr>
      <w:divsChild>
        <w:div w:id="304359129">
          <w:marLeft w:val="0"/>
          <w:marRight w:val="0"/>
          <w:marTop w:val="0"/>
          <w:marBottom w:val="0"/>
          <w:divBdr>
            <w:top w:val="none" w:sz="0" w:space="0" w:color="auto"/>
            <w:left w:val="none" w:sz="0" w:space="0" w:color="auto"/>
            <w:bottom w:val="none" w:sz="0" w:space="0" w:color="auto"/>
            <w:right w:val="none" w:sz="0" w:space="0" w:color="auto"/>
          </w:divBdr>
          <w:divsChild>
            <w:div w:id="947734293">
              <w:marLeft w:val="0"/>
              <w:marRight w:val="0"/>
              <w:marTop w:val="15"/>
              <w:marBottom w:val="15"/>
              <w:divBdr>
                <w:top w:val="single" w:sz="6" w:space="15" w:color="888888"/>
                <w:left w:val="single" w:sz="6" w:space="15" w:color="888888"/>
                <w:bottom w:val="single" w:sz="6" w:space="15" w:color="888888"/>
                <w:right w:val="single" w:sz="6" w:space="15" w:color="888888"/>
              </w:divBdr>
              <w:divsChild>
                <w:div w:id="193275150">
                  <w:marLeft w:val="0"/>
                  <w:marRight w:val="0"/>
                  <w:marTop w:val="0"/>
                  <w:marBottom w:val="0"/>
                  <w:divBdr>
                    <w:top w:val="none" w:sz="0" w:space="0" w:color="auto"/>
                    <w:left w:val="none" w:sz="0" w:space="0" w:color="auto"/>
                    <w:bottom w:val="none" w:sz="0" w:space="0" w:color="auto"/>
                    <w:right w:val="none" w:sz="0" w:space="0" w:color="auto"/>
                  </w:divBdr>
                </w:div>
                <w:div w:id="6416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658">
      <w:marLeft w:val="0"/>
      <w:marRight w:val="0"/>
      <w:marTop w:val="0"/>
      <w:marBottom w:val="0"/>
      <w:divBdr>
        <w:top w:val="none" w:sz="0" w:space="0" w:color="auto"/>
        <w:left w:val="none" w:sz="0" w:space="0" w:color="auto"/>
        <w:bottom w:val="none" w:sz="0" w:space="0" w:color="auto"/>
        <w:right w:val="none" w:sz="0" w:space="0" w:color="auto"/>
      </w:divBdr>
    </w:div>
    <w:div w:id="1945915478">
      <w:marLeft w:val="0"/>
      <w:marRight w:val="0"/>
      <w:marTop w:val="0"/>
      <w:marBottom w:val="0"/>
      <w:divBdr>
        <w:top w:val="none" w:sz="0" w:space="0" w:color="auto"/>
        <w:left w:val="none" w:sz="0" w:space="0" w:color="auto"/>
        <w:bottom w:val="none" w:sz="0" w:space="0" w:color="auto"/>
        <w:right w:val="none" w:sz="0" w:space="0" w:color="auto"/>
      </w:divBdr>
      <w:divsChild>
        <w:div w:id="969090377">
          <w:marLeft w:val="0"/>
          <w:marRight w:val="0"/>
          <w:marTop w:val="0"/>
          <w:marBottom w:val="0"/>
          <w:divBdr>
            <w:top w:val="none" w:sz="0" w:space="0" w:color="auto"/>
            <w:left w:val="none" w:sz="0" w:space="0" w:color="auto"/>
            <w:bottom w:val="none" w:sz="0" w:space="0" w:color="auto"/>
            <w:right w:val="none" w:sz="0" w:space="0" w:color="auto"/>
          </w:divBdr>
          <w:divsChild>
            <w:div w:id="131338496">
              <w:marLeft w:val="0"/>
              <w:marRight w:val="0"/>
              <w:marTop w:val="15"/>
              <w:marBottom w:val="15"/>
              <w:divBdr>
                <w:top w:val="single" w:sz="6" w:space="15" w:color="888888"/>
                <w:left w:val="single" w:sz="6" w:space="15" w:color="888888"/>
                <w:bottom w:val="single" w:sz="6" w:space="15" w:color="888888"/>
                <w:right w:val="single" w:sz="6" w:space="15" w:color="888888"/>
              </w:divBdr>
              <w:divsChild>
                <w:div w:id="2028630633">
                  <w:marLeft w:val="0"/>
                  <w:marRight w:val="0"/>
                  <w:marTop w:val="0"/>
                  <w:marBottom w:val="0"/>
                  <w:divBdr>
                    <w:top w:val="none" w:sz="0" w:space="0" w:color="auto"/>
                    <w:left w:val="none" w:sz="0" w:space="0" w:color="auto"/>
                    <w:bottom w:val="none" w:sz="0" w:space="0" w:color="auto"/>
                    <w:right w:val="none" w:sz="0" w:space="0" w:color="auto"/>
                  </w:divBdr>
                </w:div>
                <w:div w:id="1744988684">
                  <w:marLeft w:val="0"/>
                  <w:marRight w:val="0"/>
                  <w:marTop w:val="0"/>
                  <w:marBottom w:val="0"/>
                  <w:divBdr>
                    <w:top w:val="none" w:sz="0" w:space="0" w:color="auto"/>
                    <w:left w:val="none" w:sz="0" w:space="0" w:color="auto"/>
                    <w:bottom w:val="none" w:sz="0" w:space="0" w:color="auto"/>
                    <w:right w:val="none" w:sz="0" w:space="0" w:color="auto"/>
                  </w:divBdr>
                  <w:divsChild>
                    <w:div w:id="999045237">
                      <w:marLeft w:val="0"/>
                      <w:marRight w:val="0"/>
                      <w:marTop w:val="0"/>
                      <w:marBottom w:val="120"/>
                      <w:divBdr>
                        <w:top w:val="none" w:sz="0" w:space="0" w:color="auto"/>
                        <w:left w:val="none" w:sz="0" w:space="0" w:color="auto"/>
                        <w:bottom w:val="none" w:sz="0" w:space="0" w:color="auto"/>
                        <w:right w:val="none" w:sz="0" w:space="0" w:color="auto"/>
                      </w:divBdr>
                      <w:divsChild>
                        <w:div w:id="1029843917">
                          <w:marLeft w:val="0"/>
                          <w:marRight w:val="0"/>
                          <w:marTop w:val="0"/>
                          <w:marBottom w:val="0"/>
                          <w:divBdr>
                            <w:top w:val="none" w:sz="0" w:space="0" w:color="auto"/>
                            <w:left w:val="none" w:sz="0" w:space="0" w:color="auto"/>
                            <w:bottom w:val="none" w:sz="0" w:space="0" w:color="auto"/>
                            <w:right w:val="none" w:sz="0" w:space="0" w:color="auto"/>
                          </w:divBdr>
                        </w:div>
                        <w:div w:id="2023244416">
                          <w:marLeft w:val="0"/>
                          <w:marRight w:val="0"/>
                          <w:marTop w:val="0"/>
                          <w:marBottom w:val="0"/>
                          <w:divBdr>
                            <w:top w:val="none" w:sz="0" w:space="0" w:color="auto"/>
                            <w:left w:val="none" w:sz="0" w:space="0" w:color="auto"/>
                            <w:bottom w:val="none" w:sz="0" w:space="0" w:color="auto"/>
                            <w:right w:val="none" w:sz="0" w:space="0" w:color="auto"/>
                          </w:divBdr>
                        </w:div>
                      </w:divsChild>
                    </w:div>
                    <w:div w:id="1553299577">
                      <w:marLeft w:val="0"/>
                      <w:marRight w:val="0"/>
                      <w:marTop w:val="0"/>
                      <w:marBottom w:val="120"/>
                      <w:divBdr>
                        <w:top w:val="none" w:sz="0" w:space="0" w:color="auto"/>
                        <w:left w:val="none" w:sz="0" w:space="0" w:color="auto"/>
                        <w:bottom w:val="none" w:sz="0" w:space="0" w:color="auto"/>
                        <w:right w:val="none" w:sz="0" w:space="0" w:color="auto"/>
                      </w:divBdr>
                      <w:divsChild>
                        <w:div w:id="2142452228">
                          <w:marLeft w:val="0"/>
                          <w:marRight w:val="0"/>
                          <w:marTop w:val="0"/>
                          <w:marBottom w:val="0"/>
                          <w:divBdr>
                            <w:top w:val="none" w:sz="0" w:space="0" w:color="auto"/>
                            <w:left w:val="none" w:sz="0" w:space="0" w:color="auto"/>
                            <w:bottom w:val="none" w:sz="0" w:space="0" w:color="auto"/>
                            <w:right w:val="none" w:sz="0" w:space="0" w:color="auto"/>
                          </w:divBdr>
                        </w:div>
                        <w:div w:id="8546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110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Inet\DocViewServlet%3fjobNumber=41975&amp;docName=via_ex991.htm" TargetMode="External"/><Relationship Id="rId11" Type="http://schemas.openxmlformats.org/officeDocument/2006/relationships/control" Target="activeX/activeX3.xml"/><Relationship Id="rId5" Type="http://schemas.openxmlformats.org/officeDocument/2006/relationships/hyperlink" Target="file:///C:\Inet\DocViewServlet%3fjobNumber=41975&amp;docName=via_ex991.htm"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2477</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via_ex991.htm</vt:lpstr>
    </vt:vector>
  </TitlesOfParts>
  <Company>home</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via_ex991.htm</dc:title>
  <dc:creator>dell</dc:creator>
  <cp:lastModifiedBy>dell</cp:lastModifiedBy>
  <cp:revision>2</cp:revision>
  <dcterms:created xsi:type="dcterms:W3CDTF">2025-02-27T15:55:00Z</dcterms:created>
  <dcterms:modified xsi:type="dcterms:W3CDTF">2025-02-27T15:55:00Z</dcterms:modified>
</cp:coreProperties>
</file>