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4267" w14:textId="77777777" w:rsidR="00FB5816" w:rsidRPr="00286484" w:rsidRDefault="00B55B58" w:rsidP="008E1F80">
      <w:pPr>
        <w:spacing w:after="120" w:line="360" w:lineRule="auto"/>
        <w:jc w:val="center"/>
        <w:outlineLvl w:val="0"/>
        <w:rPr>
          <w:rFonts w:ascii="Times New Roman" w:hAnsi="Times New Roman" w:cs="Times New Roman"/>
          <w:sz w:val="20"/>
        </w:rPr>
      </w:pPr>
      <w:bookmarkStart w:id="0" w:name="Section1"/>
      <w:bookmarkEnd w:id="0"/>
      <w:r w:rsidRPr="00286484">
        <w:rPr>
          <w:rFonts w:ascii="Times New Roman" w:hAnsi="Times New Roman" w:cs="Times New Roman"/>
          <w:b/>
          <w:sz w:val="36"/>
        </w:rPr>
        <w:t>UNITED STATES</w:t>
      </w:r>
    </w:p>
    <w:p w14:paraId="1B853D57" w14:textId="77777777" w:rsidR="00FB5816" w:rsidRPr="00286484" w:rsidRDefault="00B55B58" w:rsidP="008E1F80">
      <w:pPr>
        <w:spacing w:after="120" w:line="360" w:lineRule="auto"/>
        <w:jc w:val="center"/>
        <w:rPr>
          <w:rFonts w:ascii="Times New Roman" w:hAnsi="Times New Roman" w:cs="Times New Roman"/>
          <w:sz w:val="20"/>
        </w:rPr>
      </w:pPr>
      <w:r w:rsidRPr="00286484">
        <w:rPr>
          <w:rFonts w:ascii="Times New Roman" w:hAnsi="Times New Roman" w:cs="Times New Roman"/>
          <w:b/>
          <w:sz w:val="36"/>
        </w:rPr>
        <w:t>SECURITIES AND EXCHANGE COMMISSION</w:t>
      </w:r>
    </w:p>
    <w:p w14:paraId="44A16855" w14:textId="538C44BB" w:rsidR="00FB5816" w:rsidRPr="00286484" w:rsidRDefault="00B55B58" w:rsidP="00794046">
      <w:pPr>
        <w:spacing w:after="120" w:line="360" w:lineRule="auto"/>
        <w:jc w:val="center"/>
        <w:rPr>
          <w:rFonts w:ascii="Times New Roman" w:hAnsi="Times New Roman" w:cs="Times New Roman"/>
          <w:sz w:val="20"/>
        </w:rPr>
      </w:pPr>
      <w:r w:rsidRPr="00286484">
        <w:rPr>
          <w:rFonts w:ascii="Times New Roman" w:hAnsi="Times New Roman" w:cs="Times New Roman"/>
          <w:b/>
        </w:rPr>
        <w:t>Washington, D.C. 20549</w:t>
      </w:r>
    </w:p>
    <w:p w14:paraId="7F2C5BDE" w14:textId="77777777" w:rsidR="00FB5816" w:rsidRPr="00286484" w:rsidRDefault="00B55B58" w:rsidP="00F92A93">
      <w:pPr>
        <w:spacing w:after="0" w:line="360" w:lineRule="auto"/>
        <w:jc w:val="center"/>
        <w:rPr>
          <w:rFonts w:ascii="Times New Roman" w:hAnsi="Times New Roman" w:cs="Times New Roman"/>
          <w:sz w:val="20"/>
        </w:rPr>
      </w:pPr>
      <w:r w:rsidRPr="00286484">
        <w:rPr>
          <w:rFonts w:ascii="Times New Roman" w:hAnsi="Times New Roman" w:cs="Times New Roman"/>
          <w:b/>
          <w:sz w:val="36"/>
        </w:rPr>
        <w:t>FORM 8-K</w:t>
      </w:r>
    </w:p>
    <w:p w14:paraId="63CD4F6E" w14:textId="77777777" w:rsidR="00FB5816" w:rsidRPr="00286484" w:rsidRDefault="00B55B58" w:rsidP="00F92A93">
      <w:pPr>
        <w:spacing w:after="0" w:line="360" w:lineRule="auto"/>
        <w:jc w:val="center"/>
        <w:rPr>
          <w:rFonts w:ascii="Times New Roman" w:hAnsi="Times New Roman" w:cs="Times New Roman"/>
          <w:szCs w:val="24"/>
        </w:rPr>
      </w:pPr>
      <w:r w:rsidRPr="00286484">
        <w:rPr>
          <w:rFonts w:ascii="Times New Roman" w:hAnsi="Times New Roman" w:cs="Times New Roman"/>
          <w:b/>
          <w:sz w:val="24"/>
          <w:szCs w:val="24"/>
        </w:rPr>
        <w:t>CURRENT REPORT</w:t>
      </w:r>
    </w:p>
    <w:p w14:paraId="566D0B7F" w14:textId="77777777" w:rsidR="00FB5816" w:rsidRPr="00286484" w:rsidRDefault="00B55B58" w:rsidP="00F92A93">
      <w:pPr>
        <w:spacing w:after="0" w:line="360" w:lineRule="auto"/>
        <w:jc w:val="center"/>
        <w:rPr>
          <w:rFonts w:ascii="Times New Roman" w:hAnsi="Times New Roman" w:cs="Times New Roman"/>
          <w:szCs w:val="24"/>
        </w:rPr>
      </w:pPr>
      <w:r w:rsidRPr="00286484">
        <w:rPr>
          <w:rFonts w:ascii="Times New Roman" w:hAnsi="Times New Roman" w:cs="Times New Roman"/>
          <w:b/>
          <w:sz w:val="24"/>
          <w:szCs w:val="24"/>
        </w:rPr>
        <w:t>PURSUANT TO SECTION 13 OR 15(D)</w:t>
      </w:r>
    </w:p>
    <w:p w14:paraId="305EED7D" w14:textId="77777777" w:rsidR="00FB5816" w:rsidRPr="00286484" w:rsidRDefault="00B55B58" w:rsidP="00F92A93">
      <w:pPr>
        <w:spacing w:after="0" w:line="360" w:lineRule="auto"/>
        <w:jc w:val="center"/>
        <w:rPr>
          <w:rFonts w:ascii="Times New Roman" w:hAnsi="Times New Roman" w:cs="Times New Roman"/>
          <w:szCs w:val="24"/>
        </w:rPr>
      </w:pPr>
      <w:r w:rsidRPr="00286484">
        <w:rPr>
          <w:rFonts w:ascii="Times New Roman" w:hAnsi="Times New Roman" w:cs="Times New Roman"/>
          <w:b/>
          <w:sz w:val="24"/>
          <w:szCs w:val="24"/>
        </w:rPr>
        <w:t>OF THE SECURITIES EXCHANGE ACT OF 1934</w:t>
      </w:r>
    </w:p>
    <w:p w14:paraId="44C9B2E5" w14:textId="77777777" w:rsidR="00FB5816" w:rsidRPr="00286484" w:rsidRDefault="00FB5816">
      <w:pPr>
        <w:spacing w:after="0" w:line="240" w:lineRule="auto"/>
        <w:rPr>
          <w:rFonts w:ascii="Times New Roman" w:hAnsi="Times New Roman" w:cs="Times New Roman"/>
          <w:sz w:val="20"/>
        </w:rPr>
      </w:pPr>
    </w:p>
    <w:p w14:paraId="08E0D6E8" w14:textId="3B6C04DD" w:rsidR="00FB5816" w:rsidRPr="00286484" w:rsidRDefault="00B55B58" w:rsidP="00F92A93">
      <w:pPr>
        <w:spacing w:after="0" w:line="360" w:lineRule="auto"/>
        <w:jc w:val="center"/>
        <w:rPr>
          <w:rFonts w:ascii="Times New Roman" w:hAnsi="Times New Roman" w:cs="Times New Roman"/>
          <w:sz w:val="20"/>
        </w:rPr>
      </w:pPr>
      <w:r w:rsidRPr="00286484">
        <w:rPr>
          <w:rFonts w:ascii="Times New Roman" w:hAnsi="Times New Roman" w:cs="Times New Roman"/>
          <w:b/>
        </w:rPr>
        <w:t xml:space="preserve">Date of Report (Date of earliest event reported): </w:t>
      </w:r>
      <w:r w:rsidR="00D5659B">
        <w:rPr>
          <w:rFonts w:ascii="Times New Roman" w:hAnsi="Times New Roman" w:cs="Times New Roman"/>
          <w:b/>
        </w:rPr>
        <w:t xml:space="preserve">June </w:t>
      </w:r>
      <w:r w:rsidR="001F263E">
        <w:rPr>
          <w:rFonts w:ascii="Times New Roman" w:hAnsi="Times New Roman" w:cs="Times New Roman"/>
          <w:b/>
        </w:rPr>
        <w:t>2</w:t>
      </w:r>
      <w:r w:rsidR="00390684">
        <w:rPr>
          <w:rFonts w:ascii="Times New Roman" w:hAnsi="Times New Roman" w:cs="Times New Roman"/>
          <w:b/>
        </w:rPr>
        <w:t>5</w:t>
      </w:r>
      <w:r w:rsidRPr="00286484">
        <w:rPr>
          <w:rFonts w:ascii="Times New Roman" w:hAnsi="Times New Roman" w:cs="Times New Roman"/>
          <w:b/>
        </w:rPr>
        <w:t>,</w:t>
      </w:r>
      <w:r w:rsidR="00C64311">
        <w:rPr>
          <w:rFonts w:ascii="Times New Roman" w:hAnsi="Times New Roman" w:cs="Times New Roman"/>
          <w:b/>
        </w:rPr>
        <w:t xml:space="preserve"> </w:t>
      </w:r>
      <w:r w:rsidRPr="00286484">
        <w:rPr>
          <w:rFonts w:ascii="Times New Roman" w:hAnsi="Times New Roman" w:cs="Times New Roman"/>
          <w:b/>
        </w:rPr>
        <w:t>202</w:t>
      </w:r>
      <w:r w:rsidR="00C64311">
        <w:rPr>
          <w:rFonts w:ascii="Times New Roman" w:hAnsi="Times New Roman" w:cs="Times New Roman"/>
          <w:b/>
        </w:rPr>
        <w:t>5</w:t>
      </w:r>
    </w:p>
    <w:p w14:paraId="34A14259" w14:textId="5EB1683F" w:rsidR="00FB5816" w:rsidRPr="00286484" w:rsidRDefault="00AE28BF" w:rsidP="00F92A93">
      <w:pPr>
        <w:spacing w:after="0" w:line="360" w:lineRule="auto"/>
        <w:jc w:val="center"/>
        <w:rPr>
          <w:rFonts w:ascii="Times New Roman" w:hAnsi="Times New Roman" w:cs="Times New Roman"/>
          <w:sz w:val="20"/>
        </w:rPr>
      </w:pPr>
      <w:r w:rsidRPr="00286484">
        <w:rPr>
          <w:rFonts w:ascii="Times New Roman" w:hAnsi="Times New Roman" w:cs="Times New Roman"/>
          <w:b/>
          <w:sz w:val="48"/>
        </w:rPr>
        <w:t>Via Renewables</w:t>
      </w:r>
      <w:r w:rsidR="00C22666" w:rsidRPr="00286484">
        <w:rPr>
          <w:rFonts w:ascii="Times New Roman" w:hAnsi="Times New Roman" w:cs="Times New Roman"/>
          <w:b/>
          <w:sz w:val="48"/>
        </w:rPr>
        <w:t>, Inc.</w:t>
      </w:r>
    </w:p>
    <w:p w14:paraId="297B0F6C" w14:textId="77777777" w:rsidR="00FB5816" w:rsidRPr="00286484" w:rsidRDefault="00B55B58" w:rsidP="00B97977">
      <w:pPr>
        <w:spacing w:after="0" w:line="360" w:lineRule="auto"/>
        <w:jc w:val="center"/>
        <w:rPr>
          <w:rFonts w:ascii="Times New Roman" w:hAnsi="Times New Roman" w:cs="Times New Roman"/>
          <w:sz w:val="20"/>
        </w:rPr>
      </w:pPr>
      <w:r w:rsidRPr="00286484">
        <w:rPr>
          <w:rFonts w:ascii="Times New Roman" w:hAnsi="Times New Roman" w:cs="Times New Roman"/>
          <w:b/>
          <w:sz w:val="20"/>
        </w:rPr>
        <w:t>(Exact Name of Registrant as Specified in its Charter)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713"/>
        <w:gridCol w:w="3117"/>
      </w:tblGrid>
      <w:tr w:rsidR="00FB5816" w:rsidRPr="00286484" w14:paraId="4BABE670" w14:textId="77777777" w:rsidTr="00B97977">
        <w:trPr>
          <w:jc w:val="center"/>
        </w:trPr>
        <w:tc>
          <w:tcPr>
            <w:tcW w:w="3150" w:type="dxa"/>
          </w:tcPr>
          <w:p w14:paraId="710B79D3" w14:textId="77777777" w:rsidR="00FB5816" w:rsidRPr="00286484" w:rsidRDefault="00B55B58">
            <w:pPr>
              <w:jc w:val="center"/>
              <w:rPr>
                <w:rFonts w:ascii="Times New Roman" w:hAnsi="Times New Roman" w:cs="Times New Roman"/>
                <w:b/>
                <w:bCs/>
                <w:sz w:val="20"/>
              </w:rPr>
            </w:pPr>
            <w:r w:rsidRPr="00286484">
              <w:rPr>
                <w:rFonts w:ascii="Times New Roman" w:hAnsi="Times New Roman" w:cs="Times New Roman"/>
                <w:b/>
                <w:bCs/>
                <w:sz w:val="20"/>
              </w:rPr>
              <w:t>Delaware</w:t>
            </w:r>
          </w:p>
          <w:p w14:paraId="604D7A74" w14:textId="77777777" w:rsidR="00FB5816" w:rsidRPr="00286484" w:rsidRDefault="00B55B58">
            <w:pPr>
              <w:ind w:left="67" w:right="67"/>
              <w:jc w:val="center"/>
              <w:rPr>
                <w:rFonts w:ascii="Times New Roman" w:hAnsi="Times New Roman" w:cs="Times New Roman"/>
                <w:b/>
                <w:bCs/>
                <w:sz w:val="20"/>
              </w:rPr>
            </w:pPr>
            <w:r w:rsidRPr="00286484">
              <w:rPr>
                <w:rFonts w:ascii="Times New Roman" w:eastAsia="Times New Roman" w:hAnsi="Times New Roman" w:cs="Times New Roman"/>
                <w:b/>
                <w:kern w:val="16"/>
                <w:sz w:val="16"/>
                <w:szCs w:val="24"/>
              </w:rPr>
              <w:t>(State or Other Jurisdiction of Incorporation)</w:t>
            </w:r>
          </w:p>
        </w:tc>
        <w:tc>
          <w:tcPr>
            <w:tcW w:w="3713" w:type="dxa"/>
          </w:tcPr>
          <w:p w14:paraId="175F9613" w14:textId="77777777" w:rsidR="00FB5816" w:rsidRPr="00286484" w:rsidRDefault="00B55B58">
            <w:pPr>
              <w:jc w:val="center"/>
              <w:rPr>
                <w:rFonts w:ascii="Times New Roman" w:hAnsi="Times New Roman" w:cs="Times New Roman"/>
                <w:b/>
                <w:bCs/>
                <w:sz w:val="20"/>
              </w:rPr>
            </w:pPr>
            <w:r w:rsidRPr="00286484">
              <w:rPr>
                <w:rFonts w:ascii="Times New Roman" w:hAnsi="Times New Roman" w:cs="Times New Roman"/>
                <w:b/>
                <w:bCs/>
                <w:sz w:val="20"/>
              </w:rPr>
              <w:t>001-36559</w:t>
            </w:r>
          </w:p>
          <w:p w14:paraId="490D19E3" w14:textId="77777777" w:rsidR="00FB5816" w:rsidRPr="00286484" w:rsidRDefault="00B55B58">
            <w:pPr>
              <w:ind w:left="67" w:right="67"/>
              <w:jc w:val="center"/>
              <w:rPr>
                <w:rFonts w:ascii="Times New Roman" w:eastAsia="Times New Roman" w:hAnsi="Times New Roman" w:cs="Times New Roman"/>
                <w:b/>
                <w:kern w:val="16"/>
                <w:sz w:val="16"/>
                <w:szCs w:val="24"/>
              </w:rPr>
            </w:pPr>
            <w:r w:rsidRPr="00286484">
              <w:rPr>
                <w:rFonts w:ascii="Times New Roman" w:eastAsia="Times New Roman" w:hAnsi="Times New Roman" w:cs="Times New Roman"/>
                <w:b/>
                <w:kern w:val="16"/>
                <w:sz w:val="16"/>
                <w:szCs w:val="24"/>
              </w:rPr>
              <w:t>(Commission</w:t>
            </w:r>
          </w:p>
          <w:p w14:paraId="16A70224" w14:textId="77777777" w:rsidR="00FB5816" w:rsidRPr="00286484" w:rsidRDefault="00B55B58">
            <w:pPr>
              <w:ind w:left="67" w:right="67"/>
              <w:jc w:val="center"/>
              <w:rPr>
                <w:rFonts w:ascii="Times New Roman" w:hAnsi="Times New Roman" w:cs="Times New Roman"/>
                <w:sz w:val="20"/>
              </w:rPr>
            </w:pPr>
            <w:r w:rsidRPr="00286484">
              <w:rPr>
                <w:rFonts w:ascii="Times New Roman" w:eastAsia="Times New Roman" w:hAnsi="Times New Roman" w:cs="Times New Roman"/>
                <w:b/>
                <w:kern w:val="16"/>
                <w:sz w:val="16"/>
                <w:szCs w:val="24"/>
              </w:rPr>
              <w:t>File Number)</w:t>
            </w:r>
          </w:p>
        </w:tc>
        <w:tc>
          <w:tcPr>
            <w:tcW w:w="3117" w:type="dxa"/>
          </w:tcPr>
          <w:p w14:paraId="2009EF67" w14:textId="77777777" w:rsidR="00FB5816" w:rsidRPr="00286484" w:rsidRDefault="00B55B58">
            <w:pPr>
              <w:ind w:left="67" w:right="67"/>
              <w:jc w:val="center"/>
              <w:rPr>
                <w:rFonts w:ascii="Times New Roman" w:eastAsia="Times New Roman" w:hAnsi="Times New Roman" w:cs="Times New Roman"/>
                <w:b/>
                <w:kern w:val="16"/>
                <w:sz w:val="20"/>
                <w:szCs w:val="32"/>
              </w:rPr>
            </w:pPr>
            <w:r w:rsidRPr="00286484">
              <w:rPr>
                <w:rFonts w:ascii="Times New Roman" w:eastAsia="Times New Roman" w:hAnsi="Times New Roman" w:cs="Times New Roman"/>
                <w:b/>
                <w:kern w:val="16"/>
                <w:sz w:val="20"/>
                <w:szCs w:val="32"/>
              </w:rPr>
              <w:t>46-5453215</w:t>
            </w:r>
          </w:p>
          <w:p w14:paraId="38321178" w14:textId="77777777" w:rsidR="00FB5816" w:rsidRPr="00286484" w:rsidRDefault="00B55B58">
            <w:pPr>
              <w:ind w:left="67" w:right="67"/>
              <w:jc w:val="center"/>
              <w:rPr>
                <w:rFonts w:ascii="Times New Roman" w:eastAsia="Times New Roman" w:hAnsi="Times New Roman" w:cs="Times New Roman"/>
                <w:b/>
                <w:kern w:val="16"/>
                <w:sz w:val="16"/>
                <w:szCs w:val="24"/>
              </w:rPr>
            </w:pPr>
            <w:r w:rsidRPr="00286484">
              <w:rPr>
                <w:rFonts w:ascii="Times New Roman" w:eastAsia="Times New Roman" w:hAnsi="Times New Roman" w:cs="Times New Roman"/>
                <w:b/>
                <w:kern w:val="16"/>
                <w:sz w:val="16"/>
                <w:szCs w:val="24"/>
              </w:rPr>
              <w:t>(IRS Employer</w:t>
            </w:r>
          </w:p>
          <w:p w14:paraId="73D4F445" w14:textId="77777777" w:rsidR="00FB5816" w:rsidRPr="00286484" w:rsidRDefault="00B55B58">
            <w:pPr>
              <w:ind w:left="67" w:right="67"/>
              <w:jc w:val="center"/>
              <w:rPr>
                <w:rFonts w:ascii="Times New Roman" w:eastAsia="Times New Roman" w:hAnsi="Times New Roman" w:cs="Times New Roman"/>
                <w:b/>
                <w:kern w:val="16"/>
                <w:sz w:val="16"/>
                <w:szCs w:val="24"/>
              </w:rPr>
            </w:pPr>
            <w:r w:rsidRPr="00286484">
              <w:rPr>
                <w:rFonts w:ascii="Times New Roman" w:eastAsia="Times New Roman" w:hAnsi="Times New Roman" w:cs="Times New Roman"/>
                <w:b/>
                <w:kern w:val="16"/>
                <w:sz w:val="16"/>
                <w:szCs w:val="24"/>
              </w:rPr>
              <w:t>Identification Number)</w:t>
            </w:r>
          </w:p>
        </w:tc>
      </w:tr>
    </w:tbl>
    <w:p w14:paraId="1CB43BC5" w14:textId="77777777" w:rsidR="00FB5816" w:rsidRPr="00286484" w:rsidRDefault="00FB5816">
      <w:pPr>
        <w:spacing w:after="0" w:line="240" w:lineRule="auto"/>
        <w:rPr>
          <w:rFonts w:ascii="Times New Roman" w:hAnsi="Times New Roman" w:cs="Times New Roman"/>
          <w:sz w:val="20"/>
        </w:rPr>
      </w:pPr>
    </w:p>
    <w:p w14:paraId="4965A951" w14:textId="77777777" w:rsidR="00FB5816" w:rsidRPr="00286484" w:rsidRDefault="00B55B58" w:rsidP="00296015">
      <w:pPr>
        <w:spacing w:after="0" w:line="360" w:lineRule="auto"/>
        <w:jc w:val="center"/>
        <w:rPr>
          <w:rFonts w:ascii="Times New Roman" w:hAnsi="Times New Roman" w:cs="Times New Roman"/>
          <w:sz w:val="20"/>
        </w:rPr>
      </w:pPr>
      <w:r w:rsidRPr="00286484">
        <w:rPr>
          <w:rFonts w:ascii="Times New Roman" w:hAnsi="Times New Roman" w:cs="Times New Roman"/>
          <w:b/>
          <w:sz w:val="20"/>
        </w:rPr>
        <w:t>12140 Wickchester Ln, Ste 100</w:t>
      </w:r>
    </w:p>
    <w:p w14:paraId="5C1D5D78" w14:textId="77777777" w:rsidR="00FB5816" w:rsidRPr="00286484" w:rsidRDefault="00B55B58" w:rsidP="00296015">
      <w:pPr>
        <w:spacing w:after="0" w:line="360" w:lineRule="auto"/>
        <w:jc w:val="center"/>
        <w:rPr>
          <w:rFonts w:ascii="Times New Roman" w:hAnsi="Times New Roman" w:cs="Times New Roman"/>
          <w:sz w:val="20"/>
        </w:rPr>
      </w:pPr>
      <w:r w:rsidRPr="00286484">
        <w:rPr>
          <w:rFonts w:ascii="Times New Roman" w:hAnsi="Times New Roman" w:cs="Times New Roman"/>
          <w:b/>
          <w:sz w:val="20"/>
        </w:rPr>
        <w:t>Houston, Texas 77079</w:t>
      </w:r>
    </w:p>
    <w:p w14:paraId="6D97A4A6" w14:textId="77777777" w:rsidR="00FB5816" w:rsidRPr="00286484" w:rsidRDefault="00B55B58" w:rsidP="00296015">
      <w:pPr>
        <w:spacing w:after="0" w:line="360" w:lineRule="auto"/>
        <w:jc w:val="center"/>
        <w:rPr>
          <w:rFonts w:ascii="Times New Roman" w:hAnsi="Times New Roman" w:cs="Times New Roman"/>
          <w:sz w:val="20"/>
        </w:rPr>
      </w:pPr>
      <w:r w:rsidRPr="00286484">
        <w:rPr>
          <w:rFonts w:ascii="Times New Roman" w:hAnsi="Times New Roman" w:cs="Times New Roman"/>
          <w:b/>
          <w:sz w:val="16"/>
        </w:rPr>
        <w:t>(Address of Principal Executive Offices)</w:t>
      </w:r>
    </w:p>
    <w:p w14:paraId="6D946F42" w14:textId="77777777" w:rsidR="00FB5816" w:rsidRPr="00286484" w:rsidRDefault="00B55B58" w:rsidP="00296015">
      <w:pPr>
        <w:spacing w:after="0" w:line="360" w:lineRule="auto"/>
        <w:jc w:val="center"/>
        <w:rPr>
          <w:rFonts w:ascii="Times New Roman" w:hAnsi="Times New Roman" w:cs="Times New Roman"/>
          <w:sz w:val="20"/>
        </w:rPr>
      </w:pPr>
      <w:r w:rsidRPr="00286484">
        <w:rPr>
          <w:rFonts w:ascii="Times New Roman" w:hAnsi="Times New Roman" w:cs="Times New Roman"/>
          <w:b/>
          <w:sz w:val="16"/>
        </w:rPr>
        <w:t>(Zip Code)</w:t>
      </w:r>
    </w:p>
    <w:p w14:paraId="727D3A06" w14:textId="77777777" w:rsidR="00FB5816" w:rsidRPr="00286484" w:rsidRDefault="00B55B58" w:rsidP="00296015">
      <w:pPr>
        <w:spacing w:after="0" w:line="360" w:lineRule="auto"/>
        <w:jc w:val="center"/>
        <w:rPr>
          <w:rFonts w:ascii="Times New Roman" w:hAnsi="Times New Roman" w:cs="Times New Roman"/>
          <w:sz w:val="20"/>
        </w:rPr>
      </w:pPr>
      <w:r w:rsidRPr="00286484">
        <w:rPr>
          <w:rFonts w:ascii="Times New Roman" w:hAnsi="Times New Roman" w:cs="Times New Roman"/>
          <w:b/>
          <w:sz w:val="20"/>
        </w:rPr>
        <w:t>(713) 600-2600</w:t>
      </w:r>
    </w:p>
    <w:p w14:paraId="4927EC8B" w14:textId="77777777" w:rsidR="00FB5816" w:rsidRPr="00286484" w:rsidRDefault="00B55B58" w:rsidP="00296015">
      <w:pPr>
        <w:spacing w:after="0" w:line="360" w:lineRule="auto"/>
        <w:jc w:val="center"/>
        <w:rPr>
          <w:rFonts w:ascii="Times New Roman" w:hAnsi="Times New Roman" w:cs="Times New Roman"/>
          <w:sz w:val="20"/>
        </w:rPr>
      </w:pPr>
      <w:r w:rsidRPr="00286484">
        <w:rPr>
          <w:rFonts w:ascii="Times New Roman" w:hAnsi="Times New Roman" w:cs="Times New Roman"/>
          <w:b/>
          <w:sz w:val="16"/>
        </w:rPr>
        <w:t>(Registrant’s Telephone Number, Including Area Code)</w:t>
      </w:r>
    </w:p>
    <w:p w14:paraId="1BAA6DC9" w14:textId="77777777" w:rsidR="00FB5816" w:rsidRPr="00286484" w:rsidRDefault="00FB5816">
      <w:pPr>
        <w:spacing w:after="0" w:line="240" w:lineRule="auto"/>
        <w:jc w:val="center"/>
        <w:rPr>
          <w:rFonts w:ascii="Times New Roman" w:hAnsi="Times New Roman" w:cs="Times New Roman"/>
          <w:sz w:val="16"/>
        </w:rPr>
      </w:pPr>
    </w:p>
    <w:p w14:paraId="744270F6" w14:textId="77777777" w:rsidR="00FB5816" w:rsidRPr="00286484" w:rsidRDefault="00B55B58">
      <w:pPr>
        <w:spacing w:after="0" w:line="240" w:lineRule="auto"/>
        <w:rPr>
          <w:rFonts w:ascii="Times New Roman" w:hAnsi="Times New Roman" w:cs="Times New Roman"/>
          <w:sz w:val="20"/>
        </w:rPr>
      </w:pPr>
      <w:r w:rsidRPr="00286484">
        <w:rPr>
          <w:rFonts w:ascii="Times New Roman" w:hAnsi="Times New Roman" w:cs="Times New Roman"/>
          <w:sz w:val="20"/>
        </w:rPr>
        <w:t>Check the appropriate box below if the Form 8-K filing is intended to simultaneously satisfy the filing obligation of the registrant under any of the following provisions:</w:t>
      </w:r>
    </w:p>
    <w:p w14:paraId="33F48F5E" w14:textId="77777777" w:rsidR="00FB5816" w:rsidRPr="00286484" w:rsidRDefault="00FB5816">
      <w:pPr>
        <w:spacing w:after="0" w:line="240" w:lineRule="auto"/>
        <w:rPr>
          <w:rFonts w:ascii="Times New Roman" w:hAnsi="Times New Roman" w:cs="Times New Roman"/>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9270"/>
      </w:tblGrid>
      <w:tr w:rsidR="00FB5816" w:rsidRPr="00286484" w14:paraId="2D51FE36" w14:textId="77777777">
        <w:trPr>
          <w:cantSplit/>
          <w:trHeight w:hRule="exact" w:val="270"/>
        </w:trPr>
        <w:tc>
          <w:tcPr>
            <w:tcW w:w="990" w:type="dxa"/>
            <w:tcBorders>
              <w:top w:val="nil"/>
              <w:left w:val="nil"/>
              <w:bottom w:val="nil"/>
              <w:right w:val="nil"/>
            </w:tcBorders>
            <w:tcMar>
              <w:top w:w="0" w:type="dxa"/>
              <w:left w:w="53" w:type="dxa"/>
              <w:bottom w:w="0" w:type="dxa"/>
              <w:right w:w="53" w:type="dxa"/>
            </w:tcMar>
          </w:tcPr>
          <w:p w14:paraId="482CE8AF" w14:textId="77777777" w:rsidR="00FB5816" w:rsidRPr="00286484" w:rsidRDefault="00B55B58" w:rsidP="00296015">
            <w:pPr>
              <w:keepNext/>
              <w:spacing w:after="0" w:line="360" w:lineRule="auto"/>
              <w:ind w:left="7" w:right="43"/>
              <w:jc w:val="center"/>
              <w:rPr>
                <w:rFonts w:ascii="Times New Roman" w:hAnsi="Times New Roman" w:cs="Times New Roman"/>
                <w:sz w:val="20"/>
              </w:rPr>
            </w:pPr>
            <w:r w:rsidRPr="00286484">
              <w:rPr>
                <w:rFonts w:ascii="Times New Roman" w:hAnsi="Times New Roman" w:cs="Times New Roman"/>
                <w:sz w:val="20"/>
                <w:szCs w:val="20"/>
              </w:rPr>
              <w:sym w:font="Wingdings" w:char="F0A8"/>
            </w:r>
          </w:p>
        </w:tc>
        <w:tc>
          <w:tcPr>
            <w:tcW w:w="9270" w:type="dxa"/>
            <w:tcBorders>
              <w:top w:val="nil"/>
              <w:left w:val="nil"/>
              <w:bottom w:val="nil"/>
              <w:right w:val="nil"/>
            </w:tcBorders>
            <w:tcMar>
              <w:top w:w="0" w:type="dxa"/>
              <w:left w:w="53" w:type="dxa"/>
              <w:bottom w:w="0" w:type="dxa"/>
              <w:right w:w="53" w:type="dxa"/>
            </w:tcMar>
          </w:tcPr>
          <w:p w14:paraId="7DE74BC0" w14:textId="77777777" w:rsidR="00FB5816" w:rsidRPr="00286484" w:rsidRDefault="00B55B58" w:rsidP="00296015">
            <w:pPr>
              <w:keepNext/>
              <w:spacing w:after="0" w:line="360" w:lineRule="auto"/>
              <w:ind w:left="72" w:right="43"/>
              <w:rPr>
                <w:rFonts w:ascii="Times New Roman" w:hAnsi="Times New Roman" w:cs="Times New Roman"/>
                <w:sz w:val="20"/>
              </w:rPr>
            </w:pPr>
            <w:r w:rsidRPr="00286484">
              <w:rPr>
                <w:rFonts w:ascii="Times New Roman" w:hAnsi="Times New Roman" w:cs="Times New Roman"/>
                <w:sz w:val="20"/>
              </w:rPr>
              <w:t>Written communications pursuant to Rule 425 under the Securities Act (17 CFR 230.425)</w:t>
            </w:r>
          </w:p>
        </w:tc>
      </w:tr>
      <w:tr w:rsidR="00FB5816" w:rsidRPr="00286484" w14:paraId="17342C03" w14:textId="77777777">
        <w:trPr>
          <w:cantSplit/>
          <w:trHeight w:hRule="exact" w:val="270"/>
        </w:trPr>
        <w:tc>
          <w:tcPr>
            <w:tcW w:w="990" w:type="dxa"/>
            <w:tcBorders>
              <w:top w:val="nil"/>
              <w:left w:val="nil"/>
              <w:bottom w:val="nil"/>
              <w:right w:val="nil"/>
            </w:tcBorders>
            <w:tcMar>
              <w:top w:w="0" w:type="dxa"/>
              <w:left w:w="53" w:type="dxa"/>
              <w:bottom w:w="0" w:type="dxa"/>
              <w:right w:w="53" w:type="dxa"/>
            </w:tcMar>
            <w:vAlign w:val="center"/>
          </w:tcPr>
          <w:p w14:paraId="3D922207" w14:textId="284A13EE" w:rsidR="00FB5816" w:rsidRPr="00286484" w:rsidRDefault="00C23052" w:rsidP="00296015">
            <w:pPr>
              <w:keepNext/>
              <w:spacing w:after="0" w:line="360" w:lineRule="auto"/>
              <w:ind w:left="7" w:right="43"/>
              <w:jc w:val="center"/>
              <w:rPr>
                <w:rFonts w:ascii="Times New Roman" w:hAnsi="Times New Roman" w:cs="Times New Roman"/>
                <w:sz w:val="20"/>
              </w:rPr>
            </w:pPr>
            <w:r w:rsidRPr="00286484">
              <w:rPr>
                <w:rFonts w:ascii="Times New Roman" w:hAnsi="Times New Roman" w:cs="Times New Roman"/>
                <w:sz w:val="20"/>
                <w:szCs w:val="20"/>
              </w:rPr>
              <w:sym w:font="Wingdings" w:char="F0A8"/>
            </w:r>
          </w:p>
        </w:tc>
        <w:tc>
          <w:tcPr>
            <w:tcW w:w="9270" w:type="dxa"/>
            <w:tcBorders>
              <w:top w:val="nil"/>
              <w:left w:val="nil"/>
              <w:bottom w:val="nil"/>
              <w:right w:val="nil"/>
            </w:tcBorders>
            <w:tcMar>
              <w:top w:w="0" w:type="dxa"/>
              <w:left w:w="53" w:type="dxa"/>
              <w:bottom w:w="0" w:type="dxa"/>
              <w:right w:w="53" w:type="dxa"/>
            </w:tcMar>
          </w:tcPr>
          <w:p w14:paraId="2A303A2A" w14:textId="77777777" w:rsidR="00FB5816" w:rsidRPr="00286484" w:rsidRDefault="00B55B58" w:rsidP="00296015">
            <w:pPr>
              <w:keepNext/>
              <w:spacing w:after="0" w:line="360" w:lineRule="auto"/>
              <w:ind w:left="72" w:right="43"/>
              <w:rPr>
                <w:rFonts w:ascii="Times New Roman" w:hAnsi="Times New Roman" w:cs="Times New Roman"/>
                <w:sz w:val="20"/>
              </w:rPr>
            </w:pPr>
            <w:r w:rsidRPr="00286484">
              <w:rPr>
                <w:rFonts w:ascii="Times New Roman" w:hAnsi="Times New Roman" w:cs="Times New Roman"/>
                <w:sz w:val="20"/>
              </w:rPr>
              <w:t>Soliciting material pursuant to Rule 14a-12 under the Exchange Act (17 CFR 240.14a-12)</w:t>
            </w:r>
          </w:p>
        </w:tc>
      </w:tr>
      <w:tr w:rsidR="00FB5816" w:rsidRPr="00286484" w14:paraId="42BA7914" w14:textId="77777777">
        <w:trPr>
          <w:cantSplit/>
          <w:trHeight w:hRule="exact" w:val="270"/>
        </w:trPr>
        <w:tc>
          <w:tcPr>
            <w:tcW w:w="990" w:type="dxa"/>
            <w:tcBorders>
              <w:top w:val="nil"/>
              <w:left w:val="nil"/>
              <w:bottom w:val="nil"/>
              <w:right w:val="nil"/>
            </w:tcBorders>
            <w:tcMar>
              <w:top w:w="0" w:type="dxa"/>
              <w:left w:w="53" w:type="dxa"/>
              <w:bottom w:w="0" w:type="dxa"/>
              <w:right w:w="53" w:type="dxa"/>
            </w:tcMar>
            <w:vAlign w:val="center"/>
          </w:tcPr>
          <w:p w14:paraId="47891EE5" w14:textId="77777777" w:rsidR="00FB5816" w:rsidRPr="00286484" w:rsidRDefault="00B55B58" w:rsidP="00296015">
            <w:pPr>
              <w:keepNext/>
              <w:spacing w:after="0" w:line="360" w:lineRule="auto"/>
              <w:ind w:left="7" w:right="43"/>
              <w:jc w:val="center"/>
              <w:rPr>
                <w:rFonts w:ascii="Times New Roman" w:hAnsi="Times New Roman" w:cs="Times New Roman"/>
                <w:sz w:val="20"/>
              </w:rPr>
            </w:pPr>
            <w:r w:rsidRPr="00286484">
              <w:rPr>
                <w:rFonts w:ascii="Times New Roman" w:hAnsi="Times New Roman" w:cs="Times New Roman"/>
                <w:sz w:val="20"/>
                <w:szCs w:val="20"/>
              </w:rPr>
              <w:sym w:font="Wingdings" w:char="F0A8"/>
            </w:r>
          </w:p>
        </w:tc>
        <w:tc>
          <w:tcPr>
            <w:tcW w:w="9270" w:type="dxa"/>
            <w:tcBorders>
              <w:top w:val="nil"/>
              <w:left w:val="nil"/>
              <w:bottom w:val="nil"/>
              <w:right w:val="nil"/>
            </w:tcBorders>
            <w:tcMar>
              <w:top w:w="0" w:type="dxa"/>
              <w:left w:w="53" w:type="dxa"/>
              <w:bottom w:w="0" w:type="dxa"/>
              <w:right w:w="53" w:type="dxa"/>
            </w:tcMar>
          </w:tcPr>
          <w:p w14:paraId="72730CAF" w14:textId="77777777" w:rsidR="00FB5816" w:rsidRPr="00286484" w:rsidRDefault="00B55B58" w:rsidP="00296015">
            <w:pPr>
              <w:keepNext/>
              <w:spacing w:after="0" w:line="360" w:lineRule="auto"/>
              <w:ind w:left="72" w:right="43"/>
              <w:rPr>
                <w:rFonts w:ascii="Times New Roman" w:hAnsi="Times New Roman" w:cs="Times New Roman"/>
                <w:sz w:val="20"/>
              </w:rPr>
            </w:pPr>
            <w:r w:rsidRPr="00286484">
              <w:rPr>
                <w:rFonts w:ascii="Times New Roman" w:hAnsi="Times New Roman" w:cs="Times New Roman"/>
                <w:sz w:val="20"/>
              </w:rPr>
              <w:t>Pre-commencement communications pursuant to Rule 14d-2(b) under the Exchange Act (17 CFR 240.14d-2(b))</w:t>
            </w:r>
          </w:p>
        </w:tc>
      </w:tr>
      <w:tr w:rsidR="00FB5816" w:rsidRPr="00286484" w14:paraId="40AEA2D4" w14:textId="77777777">
        <w:trPr>
          <w:cantSplit/>
          <w:trHeight w:hRule="exact" w:val="270"/>
        </w:trPr>
        <w:tc>
          <w:tcPr>
            <w:tcW w:w="990" w:type="dxa"/>
            <w:tcBorders>
              <w:top w:val="nil"/>
              <w:left w:val="nil"/>
              <w:bottom w:val="nil"/>
              <w:right w:val="nil"/>
            </w:tcBorders>
            <w:tcMar>
              <w:top w:w="0" w:type="dxa"/>
              <w:left w:w="53" w:type="dxa"/>
              <w:bottom w:w="0" w:type="dxa"/>
              <w:right w:w="53" w:type="dxa"/>
            </w:tcMar>
            <w:vAlign w:val="center"/>
          </w:tcPr>
          <w:p w14:paraId="06C3D680" w14:textId="77777777" w:rsidR="00FB5816" w:rsidRPr="00286484" w:rsidRDefault="00B55B58" w:rsidP="00296015">
            <w:pPr>
              <w:spacing w:after="0" w:line="360" w:lineRule="auto"/>
              <w:ind w:left="7" w:right="43"/>
              <w:jc w:val="center"/>
              <w:rPr>
                <w:rFonts w:ascii="Times New Roman" w:hAnsi="Times New Roman" w:cs="Times New Roman"/>
                <w:sz w:val="20"/>
              </w:rPr>
            </w:pPr>
            <w:r w:rsidRPr="00286484">
              <w:rPr>
                <w:rFonts w:ascii="Times New Roman" w:hAnsi="Times New Roman" w:cs="Times New Roman"/>
                <w:sz w:val="20"/>
                <w:szCs w:val="20"/>
              </w:rPr>
              <w:sym w:font="Wingdings" w:char="F0A8"/>
            </w:r>
          </w:p>
        </w:tc>
        <w:tc>
          <w:tcPr>
            <w:tcW w:w="9270" w:type="dxa"/>
            <w:tcBorders>
              <w:top w:val="nil"/>
              <w:left w:val="nil"/>
              <w:bottom w:val="nil"/>
              <w:right w:val="nil"/>
            </w:tcBorders>
            <w:tcMar>
              <w:top w:w="0" w:type="dxa"/>
              <w:left w:w="53" w:type="dxa"/>
              <w:bottom w:w="0" w:type="dxa"/>
              <w:right w:w="53" w:type="dxa"/>
            </w:tcMar>
          </w:tcPr>
          <w:p w14:paraId="2208A500" w14:textId="77777777" w:rsidR="00FB5816" w:rsidRPr="00286484" w:rsidRDefault="00B55B58" w:rsidP="00296015">
            <w:pPr>
              <w:spacing w:after="0" w:line="360" w:lineRule="auto"/>
              <w:ind w:left="72" w:right="43"/>
              <w:rPr>
                <w:rFonts w:ascii="Times New Roman" w:hAnsi="Times New Roman" w:cs="Times New Roman"/>
                <w:sz w:val="20"/>
              </w:rPr>
            </w:pPr>
            <w:r w:rsidRPr="00286484">
              <w:rPr>
                <w:rFonts w:ascii="Times New Roman" w:hAnsi="Times New Roman" w:cs="Times New Roman"/>
                <w:sz w:val="20"/>
              </w:rPr>
              <w:t>Pre-commencement communications pursuant to Rule 13e-4(c) under the Exchange Act (17 CFR 240.13e-4(c))</w:t>
            </w:r>
          </w:p>
        </w:tc>
      </w:tr>
    </w:tbl>
    <w:p w14:paraId="2214C8BA" w14:textId="77777777" w:rsidR="00D06210" w:rsidRPr="00286484" w:rsidRDefault="002049DE" w:rsidP="009E46AF">
      <w:pPr>
        <w:spacing w:after="0" w:line="240" w:lineRule="auto"/>
        <w:ind w:left="360"/>
        <w:rPr>
          <w:rFonts w:ascii="Times New Roman" w:hAnsi="Times New Roman" w:cs="Times New Roman"/>
          <w:sz w:val="20"/>
        </w:rPr>
      </w:pPr>
      <w:r w:rsidRPr="00286484">
        <w:rPr>
          <w:rFonts w:ascii="Times New Roman" w:hAnsi="Times New Roman" w:cs="Times New Roman"/>
          <w:sz w:val="20"/>
        </w:rPr>
        <w:t>Securities registered pursuant to Section 12(b) of the Act:</w:t>
      </w:r>
    </w:p>
    <w:p w14:paraId="51C7BF52" w14:textId="77777777" w:rsidR="00D06210" w:rsidRPr="00286484" w:rsidRDefault="00D06210">
      <w:pPr>
        <w:spacing w:after="0" w:line="240" w:lineRule="auto"/>
        <w:rPr>
          <w:rFonts w:ascii="Times New Roman" w:hAnsi="Times New Roman" w:cs="Times New Roman"/>
          <w:sz w:val="20"/>
        </w:rPr>
      </w:pPr>
    </w:p>
    <w:tbl>
      <w:tblPr>
        <w:tblW w:w="5000" w:type="pct"/>
        <w:tblCellMar>
          <w:left w:w="0" w:type="dxa"/>
          <w:right w:w="0" w:type="dxa"/>
        </w:tblCellMar>
        <w:tblLook w:val="04A0" w:firstRow="1" w:lastRow="0" w:firstColumn="1" w:lastColumn="0" w:noHBand="0" w:noVBand="1"/>
      </w:tblPr>
      <w:tblGrid>
        <w:gridCol w:w="4279"/>
        <w:gridCol w:w="2022"/>
        <w:gridCol w:w="4499"/>
      </w:tblGrid>
      <w:tr w:rsidR="00747622" w:rsidRPr="00286484" w14:paraId="4CF70793" w14:textId="77777777" w:rsidTr="009E46AF">
        <w:trPr>
          <w:trHeight w:val="330"/>
        </w:trPr>
        <w:tc>
          <w:tcPr>
            <w:tcW w:w="1981" w:type="pct"/>
            <w:tcMar>
              <w:top w:w="30" w:type="dxa"/>
              <w:left w:w="30" w:type="dxa"/>
              <w:bottom w:w="30" w:type="dxa"/>
              <w:right w:w="30" w:type="dxa"/>
            </w:tcMar>
            <w:hideMark/>
          </w:tcPr>
          <w:p w14:paraId="3D043D5B" w14:textId="77777777" w:rsidR="00D06210" w:rsidRPr="00D06210" w:rsidRDefault="00D06210" w:rsidP="00D06210">
            <w:pPr>
              <w:spacing w:after="0" w:line="240" w:lineRule="auto"/>
              <w:jc w:val="center"/>
              <w:rPr>
                <w:rFonts w:ascii="Times New Roman" w:eastAsia="Times New Roman" w:hAnsi="Times New Roman" w:cs="Times New Roman"/>
                <w:sz w:val="20"/>
                <w:szCs w:val="20"/>
              </w:rPr>
            </w:pPr>
            <w:r w:rsidRPr="00D06210">
              <w:rPr>
                <w:rFonts w:ascii="Times New Roman" w:eastAsia="Times New Roman" w:hAnsi="Times New Roman" w:cs="Times New Roman"/>
                <w:b/>
                <w:bCs/>
                <w:sz w:val="20"/>
                <w:szCs w:val="20"/>
                <w:u w:val="single"/>
              </w:rPr>
              <w:t>Title of each class</w:t>
            </w:r>
          </w:p>
        </w:tc>
        <w:tc>
          <w:tcPr>
            <w:tcW w:w="936" w:type="pct"/>
            <w:tcMar>
              <w:top w:w="30" w:type="dxa"/>
              <w:left w:w="30" w:type="dxa"/>
              <w:bottom w:w="30" w:type="dxa"/>
              <w:right w:w="30" w:type="dxa"/>
            </w:tcMar>
            <w:hideMark/>
          </w:tcPr>
          <w:p w14:paraId="66B29350" w14:textId="77777777" w:rsidR="00D06210" w:rsidRPr="00D06210" w:rsidRDefault="00D06210" w:rsidP="00D06210">
            <w:pPr>
              <w:spacing w:after="0" w:line="240" w:lineRule="auto"/>
              <w:jc w:val="center"/>
              <w:rPr>
                <w:rFonts w:ascii="Times New Roman" w:eastAsia="Times New Roman" w:hAnsi="Times New Roman" w:cs="Times New Roman"/>
                <w:sz w:val="20"/>
                <w:szCs w:val="20"/>
              </w:rPr>
            </w:pPr>
            <w:r w:rsidRPr="00D06210">
              <w:rPr>
                <w:rFonts w:ascii="Times New Roman" w:eastAsia="Times New Roman" w:hAnsi="Times New Roman" w:cs="Times New Roman"/>
                <w:b/>
                <w:bCs/>
                <w:sz w:val="20"/>
                <w:szCs w:val="20"/>
                <w:u w:val="single"/>
              </w:rPr>
              <w:t>Trading Symbols(s)</w:t>
            </w:r>
          </w:p>
        </w:tc>
        <w:tc>
          <w:tcPr>
            <w:tcW w:w="2083" w:type="pct"/>
            <w:tcMar>
              <w:top w:w="30" w:type="dxa"/>
              <w:left w:w="30" w:type="dxa"/>
              <w:bottom w:w="30" w:type="dxa"/>
              <w:right w:w="30" w:type="dxa"/>
            </w:tcMar>
            <w:hideMark/>
          </w:tcPr>
          <w:p w14:paraId="6BCA5A4C" w14:textId="77777777" w:rsidR="00D06210" w:rsidRPr="00D06210" w:rsidRDefault="00D06210" w:rsidP="00D06210">
            <w:pPr>
              <w:spacing w:after="0" w:line="240" w:lineRule="auto"/>
              <w:jc w:val="center"/>
              <w:rPr>
                <w:rFonts w:ascii="Times New Roman" w:eastAsia="Times New Roman" w:hAnsi="Times New Roman" w:cs="Times New Roman"/>
                <w:sz w:val="20"/>
                <w:szCs w:val="20"/>
              </w:rPr>
            </w:pPr>
            <w:r w:rsidRPr="00D06210">
              <w:rPr>
                <w:rFonts w:ascii="Times New Roman" w:eastAsia="Times New Roman" w:hAnsi="Times New Roman" w:cs="Times New Roman"/>
                <w:b/>
                <w:bCs/>
                <w:sz w:val="20"/>
                <w:szCs w:val="20"/>
                <w:u w:val="single"/>
              </w:rPr>
              <w:t>Name of exchange on which registered</w:t>
            </w:r>
          </w:p>
        </w:tc>
      </w:tr>
      <w:tr w:rsidR="00747622" w:rsidRPr="00286484" w14:paraId="110D65C0" w14:textId="77777777" w:rsidTr="00747622">
        <w:tc>
          <w:tcPr>
            <w:tcW w:w="1981" w:type="pct"/>
            <w:tcMar>
              <w:top w:w="30" w:type="dxa"/>
              <w:left w:w="30" w:type="dxa"/>
              <w:bottom w:w="30" w:type="dxa"/>
              <w:right w:w="30" w:type="dxa"/>
            </w:tcMar>
            <w:hideMark/>
          </w:tcPr>
          <w:p w14:paraId="003B15B7" w14:textId="77777777" w:rsidR="00D06210" w:rsidRPr="00D06210" w:rsidRDefault="00D06210" w:rsidP="00D06210">
            <w:pPr>
              <w:spacing w:after="0" w:line="240" w:lineRule="auto"/>
              <w:jc w:val="center"/>
              <w:rPr>
                <w:rFonts w:ascii="Times New Roman" w:eastAsia="Times New Roman" w:hAnsi="Times New Roman" w:cs="Times New Roman"/>
                <w:sz w:val="20"/>
                <w:szCs w:val="20"/>
              </w:rPr>
            </w:pPr>
            <w:r w:rsidRPr="00D06210">
              <w:rPr>
                <w:rFonts w:ascii="Times New Roman" w:eastAsia="Times New Roman" w:hAnsi="Times New Roman" w:cs="Times New Roman"/>
                <w:sz w:val="20"/>
                <w:szCs w:val="20"/>
              </w:rPr>
              <w:t>8.75% Series A Fixed-to-Floating Rate</w:t>
            </w:r>
          </w:p>
          <w:p w14:paraId="75BCCF1D" w14:textId="77777777" w:rsidR="00D06210" w:rsidRPr="00D06210" w:rsidRDefault="00D06210" w:rsidP="00D06210">
            <w:pPr>
              <w:spacing w:after="0" w:line="240" w:lineRule="auto"/>
              <w:jc w:val="center"/>
              <w:rPr>
                <w:rFonts w:ascii="Times New Roman" w:eastAsia="Times New Roman" w:hAnsi="Times New Roman" w:cs="Times New Roman"/>
                <w:sz w:val="20"/>
                <w:szCs w:val="20"/>
              </w:rPr>
            </w:pPr>
            <w:r w:rsidRPr="00D06210">
              <w:rPr>
                <w:rFonts w:ascii="Times New Roman" w:eastAsia="Times New Roman" w:hAnsi="Times New Roman" w:cs="Times New Roman"/>
                <w:sz w:val="20"/>
                <w:szCs w:val="20"/>
              </w:rPr>
              <w:t>Cumulative Redeemable Perpetual Preferred Stock, par value $0.01 per share</w:t>
            </w:r>
          </w:p>
        </w:tc>
        <w:tc>
          <w:tcPr>
            <w:tcW w:w="936" w:type="pct"/>
            <w:tcMar>
              <w:top w:w="30" w:type="dxa"/>
              <w:left w:w="30" w:type="dxa"/>
              <w:bottom w:w="30" w:type="dxa"/>
              <w:right w:w="30" w:type="dxa"/>
            </w:tcMar>
            <w:hideMark/>
          </w:tcPr>
          <w:p w14:paraId="6762903C" w14:textId="33669E92" w:rsidR="00D06210" w:rsidRPr="00D06210" w:rsidRDefault="00BF7A3B" w:rsidP="00D0621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VIASP</w:t>
            </w:r>
          </w:p>
        </w:tc>
        <w:tc>
          <w:tcPr>
            <w:tcW w:w="2083" w:type="pct"/>
            <w:tcMar>
              <w:top w:w="30" w:type="dxa"/>
              <w:left w:w="30" w:type="dxa"/>
              <w:bottom w:w="30" w:type="dxa"/>
              <w:right w:w="30" w:type="dxa"/>
            </w:tcMar>
            <w:hideMark/>
          </w:tcPr>
          <w:p w14:paraId="4B442A09" w14:textId="77777777" w:rsidR="00D06210" w:rsidRPr="00D06210" w:rsidRDefault="00D06210" w:rsidP="00D06210">
            <w:pPr>
              <w:spacing w:after="0" w:line="240" w:lineRule="auto"/>
              <w:jc w:val="center"/>
              <w:rPr>
                <w:rFonts w:ascii="Times New Roman" w:eastAsia="Times New Roman" w:hAnsi="Times New Roman" w:cs="Times New Roman"/>
                <w:sz w:val="20"/>
                <w:szCs w:val="20"/>
              </w:rPr>
            </w:pPr>
            <w:r w:rsidRPr="00D06210">
              <w:rPr>
                <w:rFonts w:ascii="Times New Roman" w:eastAsia="Times New Roman" w:hAnsi="Times New Roman" w:cs="Times New Roman"/>
                <w:sz w:val="20"/>
                <w:szCs w:val="20"/>
              </w:rPr>
              <w:t>The NASDAQ Global Select Market</w:t>
            </w:r>
          </w:p>
        </w:tc>
      </w:tr>
    </w:tbl>
    <w:p w14:paraId="6CD3BA90" w14:textId="5C470FFA" w:rsidR="002049DE" w:rsidRPr="00286484" w:rsidRDefault="002049DE">
      <w:pPr>
        <w:spacing w:after="0" w:line="240" w:lineRule="auto"/>
        <w:rPr>
          <w:rFonts w:ascii="Times New Roman" w:hAnsi="Times New Roman" w:cs="Times New Roman"/>
          <w:sz w:val="20"/>
        </w:rPr>
      </w:pPr>
      <w:r w:rsidRPr="00286484">
        <w:rPr>
          <w:rFonts w:ascii="Times New Roman" w:hAnsi="Times New Roman" w:cs="Times New Roman"/>
          <w:sz w:val="20"/>
        </w:rPr>
        <w:t xml:space="preserve"> </w:t>
      </w:r>
    </w:p>
    <w:p w14:paraId="3709F066" w14:textId="77777777" w:rsidR="00FB5816" w:rsidRPr="00286484" w:rsidRDefault="00B55B58">
      <w:pPr>
        <w:spacing w:after="0" w:line="240" w:lineRule="auto"/>
        <w:rPr>
          <w:rFonts w:ascii="Times New Roman" w:hAnsi="Times New Roman" w:cs="Times New Roman"/>
          <w:sz w:val="20"/>
        </w:rPr>
      </w:pPr>
      <w:r w:rsidRPr="00286484">
        <w:rPr>
          <w:rFonts w:ascii="Times New Roman" w:hAnsi="Times New Roman" w:cs="Times New Roman"/>
          <w:sz w:val="20"/>
        </w:rPr>
        <w:t xml:space="preserve">Indicate by check mark whether the registrant is an emerging growth company as defined in Rule 405 of the Securities Act of 1933 (§230.405 of this chapter) or Rule 12b-2 of the Securities Exchange Act of 1934 (§240.12b-2 of this chapter). </w:t>
      </w:r>
    </w:p>
    <w:p w14:paraId="135856CB" w14:textId="77777777" w:rsidR="00FB5816" w:rsidRPr="00286484" w:rsidRDefault="00FB5816">
      <w:pPr>
        <w:spacing w:after="0" w:line="240" w:lineRule="auto"/>
        <w:rPr>
          <w:rFonts w:ascii="Times New Roman" w:hAnsi="Times New Roman" w:cs="Times New Roman"/>
        </w:rPr>
      </w:pPr>
    </w:p>
    <w:p w14:paraId="3F066624" w14:textId="77777777" w:rsidR="00FB5816" w:rsidRPr="00286484" w:rsidRDefault="00B55B58">
      <w:pPr>
        <w:spacing w:after="0" w:line="240" w:lineRule="auto"/>
        <w:rPr>
          <w:rFonts w:ascii="Times New Roman" w:hAnsi="Times New Roman" w:cs="Times New Roman"/>
          <w:sz w:val="20"/>
        </w:rPr>
      </w:pPr>
      <w:r w:rsidRPr="00286484">
        <w:rPr>
          <w:rFonts w:ascii="Times New Roman" w:hAnsi="Times New Roman" w:cs="Times New Roman"/>
          <w:sz w:val="20"/>
        </w:rPr>
        <w:t>Emerging growth company  </w:t>
      </w:r>
      <w:r w:rsidRPr="00286484">
        <w:rPr>
          <w:rFonts w:ascii="Times New Roman" w:hAnsi="Times New Roman" w:cs="Times New Roman"/>
        </w:rPr>
        <w:sym w:font="Wingdings" w:char="F0A8"/>
      </w:r>
      <w:r w:rsidRPr="00286484">
        <w:rPr>
          <w:rFonts w:ascii="Times New Roman" w:hAnsi="Times New Roman" w:cs="Times New Roman"/>
          <w:sz w:val="20"/>
        </w:rPr>
        <w:t xml:space="preserve"> </w:t>
      </w:r>
    </w:p>
    <w:p w14:paraId="738935FC" w14:textId="77777777" w:rsidR="00FB5816" w:rsidRPr="00286484" w:rsidRDefault="00FB5816">
      <w:pPr>
        <w:spacing w:after="0" w:line="240" w:lineRule="auto"/>
        <w:rPr>
          <w:rFonts w:ascii="Times New Roman" w:hAnsi="Times New Roman" w:cs="Times New Roman"/>
        </w:rPr>
      </w:pPr>
    </w:p>
    <w:p w14:paraId="71E90C9D" w14:textId="77777777" w:rsidR="00FB5816" w:rsidRPr="00286484" w:rsidRDefault="00B55B58">
      <w:pPr>
        <w:spacing w:after="0" w:line="240" w:lineRule="auto"/>
        <w:rPr>
          <w:rFonts w:ascii="Times New Roman" w:hAnsi="Times New Roman" w:cs="Times New Roman"/>
          <w:sz w:val="20"/>
        </w:rPr>
      </w:pPr>
      <w:r w:rsidRPr="00286484">
        <w:rPr>
          <w:rFonts w:ascii="Times New Roman" w:hAnsi="Times New Roman" w:cs="Times New Roman"/>
          <w:sz w:val="20"/>
        </w:rPr>
        <w:t>If an emerging growth company, indicate by check mark if the registrant has elected not to use the extended transition period for complying with any new or revised financial accounting standards provided pursuant to Section 13(a) of the Exchange Act.  </w:t>
      </w:r>
      <w:r w:rsidRPr="00286484">
        <w:rPr>
          <w:rFonts w:ascii="Times New Roman" w:hAnsi="Times New Roman" w:cs="Times New Roman"/>
        </w:rPr>
        <w:sym w:font="Wingdings" w:char="F0A8"/>
      </w:r>
      <w:r w:rsidRPr="00286484">
        <w:rPr>
          <w:rFonts w:ascii="Times New Roman" w:hAnsi="Times New Roman" w:cs="Times New Roman"/>
          <w:sz w:val="20"/>
        </w:rPr>
        <w:t xml:space="preserve"> </w:t>
      </w:r>
    </w:p>
    <w:p w14:paraId="0FF63D47" w14:textId="77777777" w:rsidR="00470340" w:rsidRPr="00286484" w:rsidRDefault="00470340">
      <w:pPr>
        <w:spacing w:after="0" w:line="240" w:lineRule="auto"/>
        <w:rPr>
          <w:rFonts w:ascii="Times New Roman" w:hAnsi="Times New Roman" w:cs="Times New Roman"/>
        </w:rPr>
        <w:sectPr w:rsidR="00470340" w:rsidRPr="00286484" w:rsidSect="00747622">
          <w:headerReference w:type="default" r:id="rId8"/>
          <w:footerReference w:type="default" r:id="rId9"/>
          <w:headerReference w:type="first" r:id="rId10"/>
          <w:pgSz w:w="12240" w:h="15840"/>
          <w:pgMar w:top="720" w:right="720" w:bottom="720" w:left="720" w:header="720" w:footer="720" w:gutter="0"/>
          <w:cols w:space="720"/>
          <w:titlePg/>
          <w:docGrid w:linePitch="360"/>
        </w:sectPr>
      </w:pPr>
    </w:p>
    <w:p w14:paraId="52C8C003" w14:textId="77777777" w:rsidR="0034004A" w:rsidRPr="00286484" w:rsidRDefault="0034004A" w:rsidP="00533A6E">
      <w:pPr>
        <w:spacing w:after="0" w:line="240" w:lineRule="auto"/>
        <w:rPr>
          <w:rFonts w:ascii="Times New Roman" w:eastAsia="Times New Roman" w:hAnsi="Times New Roman" w:cs="Times New Roman"/>
          <w:b/>
          <w:kern w:val="16"/>
        </w:rPr>
      </w:pPr>
    </w:p>
    <w:p w14:paraId="2CAA1E3C" w14:textId="2E2C2B70" w:rsidR="0055531F" w:rsidRPr="00FE213E" w:rsidRDefault="0055531F" w:rsidP="004D166B">
      <w:pPr>
        <w:pStyle w:val="BodyText"/>
        <w:spacing w:before="100" w:beforeAutospacing="1" w:after="100" w:afterAutospacing="1"/>
        <w:rPr>
          <w:b/>
          <w:kern w:val="16"/>
          <w:sz w:val="22"/>
          <w:szCs w:val="22"/>
        </w:rPr>
      </w:pPr>
      <w:r w:rsidRPr="00FE213E">
        <w:rPr>
          <w:b/>
          <w:kern w:val="16"/>
          <w:sz w:val="22"/>
          <w:szCs w:val="22"/>
        </w:rPr>
        <w:t>Item 8.01</w:t>
      </w:r>
      <w:r w:rsidR="00BC74CB" w:rsidRPr="00FE213E">
        <w:rPr>
          <w:b/>
          <w:kern w:val="16"/>
          <w:sz w:val="22"/>
          <w:szCs w:val="22"/>
        </w:rPr>
        <w:tab/>
      </w:r>
      <w:r w:rsidRPr="00FE213E">
        <w:rPr>
          <w:b/>
          <w:kern w:val="16"/>
          <w:sz w:val="22"/>
          <w:szCs w:val="22"/>
        </w:rPr>
        <w:t>Other Events.</w:t>
      </w:r>
    </w:p>
    <w:p w14:paraId="75C21728" w14:textId="77777777" w:rsidR="004D166B" w:rsidRPr="00F6054F" w:rsidRDefault="004D166B" w:rsidP="004D166B">
      <w:pPr>
        <w:spacing w:after="0" w:line="240" w:lineRule="auto"/>
        <w:rPr>
          <w:rFonts w:ascii="Times New Roman" w:eastAsia="Times New Roman" w:hAnsi="Times New Roman" w:cs="Times New Roman"/>
          <w:sz w:val="24"/>
          <w:szCs w:val="24"/>
        </w:rPr>
      </w:pPr>
      <w:r w:rsidRPr="00F6054F">
        <w:rPr>
          <w:rFonts w:ascii="Times New Roman" w:eastAsia="Times New Roman" w:hAnsi="Times New Roman" w:cs="Times New Roman"/>
          <w:i/>
          <w:iCs/>
          <w:color w:val="000000"/>
        </w:rPr>
        <w:t>Senior Credit Facility</w:t>
      </w:r>
    </w:p>
    <w:p w14:paraId="31FF5C5B" w14:textId="77777777" w:rsidR="004D166B" w:rsidRPr="00F6054F" w:rsidRDefault="004D166B" w:rsidP="004D166B">
      <w:pPr>
        <w:spacing w:after="0" w:line="240" w:lineRule="auto"/>
        <w:rPr>
          <w:rFonts w:ascii="Times New Roman" w:eastAsia="Times New Roman" w:hAnsi="Times New Roman" w:cs="Times New Roman"/>
          <w:sz w:val="24"/>
          <w:szCs w:val="24"/>
        </w:rPr>
      </w:pPr>
    </w:p>
    <w:p w14:paraId="2C86EE98" w14:textId="6881A419" w:rsidR="004D166B" w:rsidRPr="00F6054F" w:rsidRDefault="004D166B" w:rsidP="00AE066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rPr>
        <w:t>Via Renewables, Inc (the “</w:t>
      </w:r>
      <w:r w:rsidRPr="00F6054F">
        <w:rPr>
          <w:rFonts w:ascii="Times New Roman" w:eastAsia="Times New Roman" w:hAnsi="Times New Roman" w:cs="Times New Roman"/>
          <w:color w:val="000000"/>
        </w:rPr>
        <w:t>Company</w:t>
      </w:r>
      <w:r>
        <w:rPr>
          <w:rFonts w:ascii="Times New Roman" w:eastAsia="Times New Roman" w:hAnsi="Times New Roman" w:cs="Times New Roman"/>
          <w:color w:val="000000"/>
        </w:rPr>
        <w:t>”)</w:t>
      </w:r>
      <w:r w:rsidRPr="00F6054F">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 xml:space="preserve">its subsidiary </w:t>
      </w:r>
      <w:r w:rsidRPr="00F6054F">
        <w:rPr>
          <w:rFonts w:ascii="Times New Roman" w:eastAsia="Times New Roman" w:hAnsi="Times New Roman" w:cs="Times New Roman"/>
          <w:color w:val="000000"/>
        </w:rPr>
        <w:t xml:space="preserve">Spark Holdco (together with certain subsidiaries of the Company and Spark Holdco, the “Co-Borrowers”) maintain a senior secured borrowing base credit facility </w:t>
      </w:r>
      <w:r>
        <w:rPr>
          <w:rFonts w:ascii="Times New Roman" w:eastAsia="Times New Roman" w:hAnsi="Times New Roman" w:cs="Times New Roman"/>
          <w:color w:val="000000"/>
        </w:rPr>
        <w:t xml:space="preserve">(“Senior Credit Facility”) </w:t>
      </w:r>
      <w:r w:rsidRPr="00F6054F">
        <w:rPr>
          <w:rFonts w:ascii="Times New Roman" w:eastAsia="Times New Roman" w:hAnsi="Times New Roman" w:cs="Times New Roman"/>
          <w:color w:val="000000"/>
        </w:rPr>
        <w:t xml:space="preserve">with Woodforest National Bank, as administrative agent (the “Agent”), swing bank, swap bank, issuing bank, joint-lead arranger, sole bookrunner and syndication agent, and the other financial institutions party thereto as lenders. </w:t>
      </w:r>
      <w:r>
        <w:rPr>
          <w:rFonts w:ascii="Times New Roman" w:eastAsia="Times New Roman" w:hAnsi="Times New Roman" w:cs="Times New Roman"/>
          <w:color w:val="000000"/>
        </w:rPr>
        <w:t xml:space="preserve">On June </w:t>
      </w:r>
      <w:r w:rsidR="001F263E">
        <w:rPr>
          <w:rFonts w:ascii="Times New Roman" w:eastAsia="Times New Roman" w:hAnsi="Times New Roman" w:cs="Times New Roman"/>
          <w:color w:val="000000"/>
        </w:rPr>
        <w:t>25</w:t>
      </w:r>
      <w:r>
        <w:rPr>
          <w:rFonts w:ascii="Times New Roman" w:eastAsia="Times New Roman" w:hAnsi="Times New Roman" w:cs="Times New Roman"/>
          <w:color w:val="000000"/>
        </w:rPr>
        <w:t>, 2025, the Co-Borrowers entered into new arrangements with the Agent</w:t>
      </w:r>
      <w:r w:rsidRPr="00E72C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the </w:t>
      </w:r>
      <w:r w:rsidRPr="00F6054F">
        <w:rPr>
          <w:rFonts w:ascii="Times New Roman" w:eastAsia="Times New Roman" w:hAnsi="Times New Roman" w:cs="Times New Roman"/>
          <w:color w:val="000000"/>
        </w:rPr>
        <w:t>financial institutions party thereto</w:t>
      </w:r>
      <w:r>
        <w:rPr>
          <w:rFonts w:ascii="Times New Roman" w:eastAsia="Times New Roman" w:hAnsi="Times New Roman" w:cs="Times New Roman"/>
          <w:color w:val="000000"/>
        </w:rPr>
        <w:t xml:space="preserve">, and other additional financial institutions, to increase </w:t>
      </w:r>
      <w:proofErr w:type="gramStart"/>
      <w:r>
        <w:rPr>
          <w:rFonts w:ascii="Times New Roman" w:eastAsia="Times New Roman" w:hAnsi="Times New Roman" w:cs="Times New Roman"/>
          <w:color w:val="000000"/>
        </w:rPr>
        <w:t xml:space="preserve">the </w:t>
      </w:r>
      <w:r w:rsidRPr="00F6054F">
        <w:rPr>
          <w:rFonts w:ascii="Times New Roman" w:eastAsia="Times New Roman" w:hAnsi="Times New Roman" w:cs="Times New Roman"/>
          <w:color w:val="000000"/>
        </w:rPr>
        <w:t xml:space="preserve"> borrowing</w:t>
      </w:r>
      <w:proofErr w:type="gramEnd"/>
      <w:r w:rsidRPr="00F6054F">
        <w:rPr>
          <w:rFonts w:ascii="Times New Roman" w:eastAsia="Times New Roman" w:hAnsi="Times New Roman" w:cs="Times New Roman"/>
          <w:color w:val="000000"/>
        </w:rPr>
        <w:t xml:space="preserve"> capacity </w:t>
      </w:r>
      <w:r>
        <w:rPr>
          <w:rFonts w:ascii="Times New Roman" w:eastAsia="Times New Roman" w:hAnsi="Times New Roman" w:cs="Times New Roman"/>
          <w:color w:val="000000"/>
        </w:rPr>
        <w:t xml:space="preserve">under the Senior Credit Facility to </w:t>
      </w:r>
      <w:r w:rsidRPr="00F6054F">
        <w:rPr>
          <w:rFonts w:ascii="Times New Roman" w:eastAsia="Times New Roman" w:hAnsi="Times New Roman" w:cs="Times New Roman"/>
          <w:color w:val="000000"/>
        </w:rPr>
        <w:t>$2</w:t>
      </w:r>
      <w:r>
        <w:rPr>
          <w:rFonts w:ascii="Times New Roman" w:eastAsia="Times New Roman" w:hAnsi="Times New Roman" w:cs="Times New Roman"/>
          <w:color w:val="000000"/>
        </w:rPr>
        <w:t>50</w:t>
      </w:r>
      <w:r w:rsidRPr="00F6054F">
        <w:rPr>
          <w:rFonts w:ascii="Times New Roman" w:eastAsia="Times New Roman" w:hAnsi="Times New Roman" w:cs="Times New Roman"/>
          <w:color w:val="000000"/>
        </w:rPr>
        <w:t xml:space="preserve">.0 million. </w:t>
      </w:r>
    </w:p>
    <w:p w14:paraId="68BE3119" w14:textId="77777777" w:rsidR="00230CC6" w:rsidRPr="00286484" w:rsidRDefault="00230CC6">
      <w:pPr>
        <w:spacing w:after="0" w:line="240" w:lineRule="auto"/>
        <w:jc w:val="center"/>
        <w:rPr>
          <w:rFonts w:ascii="Times New Roman" w:hAnsi="Times New Roman" w:cs="Times New Roman"/>
          <w:b/>
          <w:bCs/>
          <w:color w:val="000000"/>
        </w:rPr>
      </w:pPr>
    </w:p>
    <w:p w14:paraId="1B6652D1" w14:textId="2AE54500" w:rsidR="009A5A82" w:rsidRDefault="009A5A82">
      <w:pPr>
        <w:rPr>
          <w:rFonts w:ascii="Times New Roman" w:hAnsi="Times New Roman" w:cs="Times New Roman"/>
          <w:b/>
          <w:bCs/>
          <w:color w:val="000000"/>
        </w:rPr>
      </w:pPr>
      <w:r>
        <w:rPr>
          <w:rFonts w:ascii="Times New Roman" w:hAnsi="Times New Roman" w:cs="Times New Roman"/>
          <w:b/>
          <w:bCs/>
          <w:color w:val="000000"/>
        </w:rPr>
        <w:br w:type="page"/>
      </w:r>
    </w:p>
    <w:p w14:paraId="74ED0FEF" w14:textId="65557B41" w:rsidR="00FB5816" w:rsidRPr="00286484" w:rsidRDefault="00B55B58">
      <w:pPr>
        <w:spacing w:after="0" w:line="240" w:lineRule="auto"/>
        <w:jc w:val="center"/>
        <w:rPr>
          <w:rFonts w:ascii="Times New Roman" w:hAnsi="Times New Roman" w:cs="Times New Roman"/>
          <w:b/>
          <w:bCs/>
          <w:color w:val="000000"/>
        </w:rPr>
      </w:pPr>
      <w:r w:rsidRPr="00286484">
        <w:rPr>
          <w:rFonts w:ascii="Times New Roman" w:hAnsi="Times New Roman" w:cs="Times New Roman"/>
          <w:b/>
          <w:bCs/>
          <w:color w:val="000000"/>
        </w:rPr>
        <w:lastRenderedPageBreak/>
        <w:t>SIGNATURES</w:t>
      </w:r>
    </w:p>
    <w:p w14:paraId="45893856" w14:textId="77777777" w:rsidR="00FB5816" w:rsidRPr="00286484" w:rsidRDefault="00FB5816">
      <w:pPr>
        <w:spacing w:after="0" w:line="240" w:lineRule="auto"/>
        <w:jc w:val="center"/>
        <w:rPr>
          <w:rFonts w:ascii="Times New Roman" w:hAnsi="Times New Roman" w:cs="Times New Roman"/>
          <w:color w:val="000000"/>
        </w:rPr>
      </w:pPr>
    </w:p>
    <w:p w14:paraId="3C432677" w14:textId="77777777" w:rsidR="00FB5816" w:rsidRPr="00286484" w:rsidRDefault="00B55B58" w:rsidP="000609C3">
      <w:pPr>
        <w:spacing w:after="0" w:line="240" w:lineRule="auto"/>
        <w:rPr>
          <w:rFonts w:ascii="Times New Roman" w:hAnsi="Times New Roman" w:cs="Times New Roman"/>
          <w:color w:val="000000"/>
          <w:shd w:val="clear" w:color="auto" w:fill="FFFFFF"/>
        </w:rPr>
      </w:pPr>
      <w:r w:rsidRPr="00286484">
        <w:rPr>
          <w:rFonts w:ascii="Times New Roman" w:hAnsi="Times New Roman" w:cs="Times New Roman"/>
          <w:color w:val="000000"/>
          <w:shd w:val="clear" w:color="auto" w:fill="FFFFFF"/>
        </w:rPr>
        <w:t xml:space="preserve">Pursuant to the </w:t>
      </w:r>
      <w:r w:rsidRPr="00286484">
        <w:rPr>
          <w:rFonts w:ascii="Times New Roman" w:eastAsia="Times New Roman" w:hAnsi="Times New Roman" w:cs="Times New Roman"/>
          <w:kern w:val="16"/>
          <w:sz w:val="20"/>
          <w:szCs w:val="24"/>
        </w:rPr>
        <w:t>requirements</w:t>
      </w:r>
      <w:r w:rsidRPr="00286484">
        <w:rPr>
          <w:rFonts w:ascii="Times New Roman" w:hAnsi="Times New Roman" w:cs="Times New Roman"/>
          <w:color w:val="000000"/>
          <w:shd w:val="clear" w:color="auto" w:fill="FFFFFF"/>
        </w:rPr>
        <w:t xml:space="preserve"> of the Securities Exchange Act of 1934, the registrant has duly caused this report to be signed on its behalf by the undersigned hereunto duly authorized.</w:t>
      </w:r>
    </w:p>
    <w:p w14:paraId="77277A4B" w14:textId="77777777" w:rsidR="00FB5816" w:rsidRPr="00286484" w:rsidRDefault="00FB5816">
      <w:pPr>
        <w:spacing w:after="0" w:line="240" w:lineRule="auto"/>
        <w:rPr>
          <w:rFonts w:ascii="Times New Roman" w:hAnsi="Times New Roman" w:cs="Times New Roman"/>
          <w:color w:val="000000"/>
          <w:shd w:val="clear" w:color="auto" w:fill="FFFFFF"/>
        </w:rPr>
      </w:pPr>
    </w:p>
    <w:p w14:paraId="408B91FF" w14:textId="007654A5" w:rsidR="00FB5816" w:rsidRPr="00286484" w:rsidRDefault="00B55B58">
      <w:pPr>
        <w:spacing w:after="0" w:line="240" w:lineRule="auto"/>
        <w:rPr>
          <w:rFonts w:ascii="Times New Roman" w:hAnsi="Times New Roman" w:cs="Times New Roman"/>
          <w:color w:val="000000"/>
          <w:shd w:val="clear" w:color="auto" w:fill="FFFFFF"/>
        </w:rPr>
      </w:pPr>
      <w:r w:rsidRPr="00286484">
        <w:rPr>
          <w:rFonts w:ascii="Times New Roman" w:hAnsi="Times New Roman" w:cs="Times New Roman"/>
          <w:color w:val="000000"/>
          <w:shd w:val="clear" w:color="auto" w:fill="FFFFFF"/>
        </w:rPr>
        <w:t>Dated:</w:t>
      </w:r>
      <w:r w:rsidR="002C25E6">
        <w:rPr>
          <w:rFonts w:ascii="Times New Roman" w:hAnsi="Times New Roman" w:cs="Times New Roman"/>
          <w:color w:val="000000"/>
          <w:shd w:val="clear" w:color="auto" w:fill="FFFFFF"/>
        </w:rPr>
        <w:t xml:space="preserve"> </w:t>
      </w:r>
      <w:r w:rsidR="00D0704C">
        <w:rPr>
          <w:rFonts w:ascii="Times New Roman" w:hAnsi="Times New Roman" w:cs="Times New Roman"/>
          <w:color w:val="000000"/>
          <w:shd w:val="clear" w:color="auto" w:fill="FFFFFF"/>
        </w:rPr>
        <w:t xml:space="preserve">June </w:t>
      </w:r>
      <w:r w:rsidR="001F263E">
        <w:rPr>
          <w:rFonts w:ascii="Times New Roman" w:hAnsi="Times New Roman" w:cs="Times New Roman"/>
          <w:color w:val="000000"/>
          <w:shd w:val="clear" w:color="auto" w:fill="FFFFFF"/>
        </w:rPr>
        <w:t>2</w:t>
      </w:r>
      <w:r w:rsidR="00A20CCB">
        <w:rPr>
          <w:rFonts w:ascii="Times New Roman" w:hAnsi="Times New Roman" w:cs="Times New Roman"/>
          <w:color w:val="000000"/>
          <w:shd w:val="clear" w:color="auto" w:fill="FFFFFF"/>
        </w:rPr>
        <w:t>6</w:t>
      </w:r>
      <w:r w:rsidRPr="00286484">
        <w:rPr>
          <w:rFonts w:ascii="Times New Roman" w:hAnsi="Times New Roman" w:cs="Times New Roman"/>
          <w:color w:val="000000"/>
          <w:shd w:val="clear" w:color="auto" w:fill="FFFFFF"/>
        </w:rPr>
        <w:t>, 202</w:t>
      </w:r>
      <w:r w:rsidR="002C25E6">
        <w:rPr>
          <w:rFonts w:ascii="Times New Roman" w:hAnsi="Times New Roman" w:cs="Times New Roman"/>
          <w:color w:val="000000"/>
          <w:shd w:val="clear" w:color="auto" w:fill="FFFFFF"/>
        </w:rPr>
        <w:t>5</w:t>
      </w:r>
    </w:p>
    <w:p w14:paraId="456CBC21" w14:textId="77777777" w:rsidR="00FB5816" w:rsidRPr="00286484" w:rsidRDefault="00FB5816">
      <w:pPr>
        <w:spacing w:after="0" w:line="240" w:lineRule="auto"/>
        <w:rPr>
          <w:rFonts w:ascii="Times New Roman" w:hAnsi="Times New Roman" w:cs="Times New Roman"/>
          <w:color w:val="000000"/>
          <w:shd w:val="clear" w:color="auto" w:fill="FFFFFF"/>
        </w:rPr>
      </w:pPr>
    </w:p>
    <w:p w14:paraId="777A0551" w14:textId="77777777" w:rsidR="00FB5816" w:rsidRPr="00286484" w:rsidRDefault="00B55B58">
      <w:pPr>
        <w:spacing w:after="0" w:line="240" w:lineRule="auto"/>
        <w:rPr>
          <w:rFonts w:ascii="Times New Roman" w:hAnsi="Times New Roman" w:cs="Times New Roman"/>
          <w:b/>
          <w:bCs/>
          <w:color w:val="000000"/>
          <w:shd w:val="clear" w:color="auto" w:fill="FFFFFF"/>
        </w:rPr>
      </w:pPr>
      <w:r w:rsidRPr="00286484">
        <w:rPr>
          <w:rFonts w:ascii="Times New Roman" w:hAnsi="Times New Roman" w:cs="Times New Roman"/>
          <w:b/>
          <w:bCs/>
          <w:color w:val="000000"/>
          <w:shd w:val="clear" w:color="auto" w:fill="FFFFFF"/>
        </w:rPr>
        <w:t>Via Renewables, Inc.</w:t>
      </w:r>
    </w:p>
    <w:p w14:paraId="76421391" w14:textId="77777777" w:rsidR="000609C3" w:rsidRPr="00286484" w:rsidRDefault="000609C3">
      <w:pPr>
        <w:spacing w:after="0" w:line="240" w:lineRule="auto"/>
        <w:rPr>
          <w:rFonts w:ascii="Times New Roman" w:hAnsi="Times New Roman" w:cs="Times New Roman"/>
          <w:b/>
          <w:bCs/>
          <w:color w:val="000000"/>
          <w:shd w:val="clear" w:color="auto" w:fill="FFFFFF"/>
        </w:rPr>
      </w:pPr>
    </w:p>
    <w:p w14:paraId="1F2AF1A2" w14:textId="33A2B62C" w:rsidR="00FB5816" w:rsidRPr="008245E1" w:rsidRDefault="00B55B58">
      <w:pPr>
        <w:spacing w:after="0" w:line="240" w:lineRule="auto"/>
        <w:rPr>
          <w:rFonts w:ascii="Times New Roman" w:hAnsi="Times New Roman" w:cs="Times New Roman"/>
          <w:color w:val="000000"/>
          <w:u w:val="single"/>
          <w:shd w:val="clear" w:color="auto" w:fill="FFFFFF"/>
        </w:rPr>
      </w:pPr>
      <w:r w:rsidRPr="00286484">
        <w:rPr>
          <w:rFonts w:ascii="Times New Roman" w:hAnsi="Times New Roman" w:cs="Times New Roman"/>
          <w:color w:val="000000"/>
          <w:shd w:val="clear" w:color="auto" w:fill="FFFFFF"/>
        </w:rPr>
        <w:t xml:space="preserve">By: </w:t>
      </w:r>
      <w:r w:rsidRPr="00286484">
        <w:rPr>
          <w:rFonts w:ascii="Times New Roman" w:hAnsi="Times New Roman" w:cs="Times New Roman"/>
          <w:color w:val="000000"/>
          <w:shd w:val="clear" w:color="auto" w:fill="FFFFFF"/>
        </w:rPr>
        <w:tab/>
      </w:r>
      <w:r w:rsidRPr="00286484">
        <w:rPr>
          <w:rFonts w:ascii="Times New Roman" w:hAnsi="Times New Roman" w:cs="Times New Roman"/>
          <w:color w:val="000000"/>
          <w:shd w:val="clear" w:color="auto" w:fill="FFFFFF"/>
        </w:rPr>
        <w:tab/>
      </w:r>
      <w:r w:rsidR="008245E1" w:rsidRPr="008245E1">
        <w:rPr>
          <w:rFonts w:ascii="Times New Roman" w:hAnsi="Times New Roman" w:cs="Times New Roman"/>
          <w:color w:val="000000"/>
          <w:shd w:val="clear" w:color="auto" w:fill="FFFFFF"/>
        </w:rPr>
        <w:t>/s/ Mike Barajas</w:t>
      </w:r>
    </w:p>
    <w:p w14:paraId="4D849B68" w14:textId="77777777" w:rsidR="00FB5816" w:rsidRPr="00286484" w:rsidRDefault="00B55B58">
      <w:pPr>
        <w:spacing w:after="0" w:line="240" w:lineRule="auto"/>
        <w:rPr>
          <w:rFonts w:ascii="Times New Roman" w:hAnsi="Times New Roman" w:cs="Times New Roman"/>
          <w:color w:val="000000"/>
          <w:shd w:val="clear" w:color="auto" w:fill="FFFFFF"/>
        </w:rPr>
      </w:pPr>
      <w:r w:rsidRPr="00286484">
        <w:rPr>
          <w:rFonts w:ascii="Times New Roman" w:hAnsi="Times New Roman" w:cs="Times New Roman"/>
          <w:color w:val="000000"/>
          <w:shd w:val="clear" w:color="auto" w:fill="FFFFFF"/>
        </w:rPr>
        <w:t>Name:</w:t>
      </w:r>
      <w:r w:rsidRPr="00286484">
        <w:rPr>
          <w:rFonts w:ascii="Times New Roman" w:hAnsi="Times New Roman" w:cs="Times New Roman"/>
          <w:color w:val="000000"/>
          <w:shd w:val="clear" w:color="auto" w:fill="FFFFFF"/>
        </w:rPr>
        <w:tab/>
      </w:r>
      <w:r w:rsidRPr="00286484">
        <w:rPr>
          <w:rFonts w:ascii="Times New Roman" w:hAnsi="Times New Roman" w:cs="Times New Roman"/>
          <w:color w:val="000000"/>
          <w:shd w:val="clear" w:color="auto" w:fill="FFFFFF"/>
        </w:rPr>
        <w:tab/>
        <w:t>Mike Barajas</w:t>
      </w:r>
    </w:p>
    <w:p w14:paraId="734AD086" w14:textId="77777777" w:rsidR="00FB5816" w:rsidRPr="00286484" w:rsidRDefault="00B55B58">
      <w:pPr>
        <w:spacing w:after="0" w:line="240" w:lineRule="auto"/>
        <w:rPr>
          <w:rFonts w:ascii="Times New Roman" w:hAnsi="Times New Roman" w:cs="Times New Roman"/>
          <w:color w:val="000000"/>
          <w:shd w:val="clear" w:color="auto" w:fill="FFFFFF"/>
        </w:rPr>
      </w:pPr>
      <w:r w:rsidRPr="00286484">
        <w:rPr>
          <w:rFonts w:ascii="Times New Roman" w:hAnsi="Times New Roman" w:cs="Times New Roman"/>
          <w:color w:val="000000"/>
          <w:shd w:val="clear" w:color="auto" w:fill="FFFFFF"/>
        </w:rPr>
        <w:t xml:space="preserve">Title: </w:t>
      </w:r>
      <w:r w:rsidRPr="00286484">
        <w:rPr>
          <w:rFonts w:ascii="Times New Roman" w:hAnsi="Times New Roman" w:cs="Times New Roman"/>
          <w:color w:val="000000"/>
          <w:shd w:val="clear" w:color="auto" w:fill="FFFFFF"/>
        </w:rPr>
        <w:tab/>
      </w:r>
      <w:r w:rsidRPr="00286484">
        <w:rPr>
          <w:rFonts w:ascii="Times New Roman" w:hAnsi="Times New Roman" w:cs="Times New Roman"/>
          <w:color w:val="000000"/>
          <w:shd w:val="clear" w:color="auto" w:fill="FFFFFF"/>
        </w:rPr>
        <w:tab/>
        <w:t>Chief Financial Officer</w:t>
      </w:r>
    </w:p>
    <w:p w14:paraId="4E9F5C75" w14:textId="3D69CE56" w:rsidR="00CF08D0" w:rsidRPr="007E3128" w:rsidRDefault="00CF08D0" w:rsidP="007E3128">
      <w:pPr>
        <w:rPr>
          <w:rFonts w:ascii="Times New Roman" w:hAnsi="Times New Roman" w:cs="Times New Roman"/>
          <w:color w:val="000000"/>
          <w:shd w:val="clear" w:color="auto" w:fill="FFFFFF"/>
        </w:rPr>
      </w:pPr>
    </w:p>
    <w:sectPr w:rsidR="00CF08D0" w:rsidRPr="007E3128" w:rsidSect="00470340">
      <w:footerReference w:type="first" r:id="rId11"/>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F60B" w14:textId="77777777" w:rsidR="009174BE" w:rsidRDefault="009174BE">
      <w:pPr>
        <w:spacing w:after="0" w:line="240" w:lineRule="auto"/>
      </w:pPr>
      <w:r>
        <w:separator/>
      </w:r>
    </w:p>
  </w:endnote>
  <w:endnote w:type="continuationSeparator" w:id="0">
    <w:p w14:paraId="7485ABE5" w14:textId="77777777" w:rsidR="009174BE" w:rsidRDefault="0091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43226"/>
      <w:docPartObj>
        <w:docPartGallery w:val="Page Numbers (Bottom of Page)"/>
        <w:docPartUnique/>
      </w:docPartObj>
    </w:sdtPr>
    <w:sdtEndPr>
      <w:rPr>
        <w:rFonts w:ascii="Times New Roman" w:hAnsi="Times New Roman" w:cs="Times New Roman"/>
        <w:noProof/>
      </w:rPr>
    </w:sdtEndPr>
    <w:sdtContent>
      <w:p w14:paraId="664A5833" w14:textId="6F5698D1" w:rsidR="00470340" w:rsidRPr="00470340" w:rsidRDefault="00470340">
        <w:pPr>
          <w:pStyle w:val="Footer"/>
          <w:jc w:val="center"/>
          <w:rPr>
            <w:rFonts w:ascii="Times New Roman" w:hAnsi="Times New Roman" w:cs="Times New Roman"/>
          </w:rPr>
        </w:pPr>
        <w:r w:rsidRPr="00470340">
          <w:rPr>
            <w:rFonts w:ascii="Times New Roman" w:hAnsi="Times New Roman" w:cs="Times New Roman"/>
          </w:rPr>
          <w:fldChar w:fldCharType="begin"/>
        </w:r>
        <w:r w:rsidRPr="00470340">
          <w:rPr>
            <w:rFonts w:ascii="Times New Roman" w:hAnsi="Times New Roman" w:cs="Times New Roman"/>
          </w:rPr>
          <w:instrText xml:space="preserve"> PAGE   \* MERGEFORMAT </w:instrText>
        </w:r>
        <w:r w:rsidRPr="00470340">
          <w:rPr>
            <w:rFonts w:ascii="Times New Roman" w:hAnsi="Times New Roman" w:cs="Times New Roman"/>
          </w:rPr>
          <w:fldChar w:fldCharType="separate"/>
        </w:r>
        <w:r w:rsidRPr="00470340">
          <w:rPr>
            <w:rFonts w:ascii="Times New Roman" w:hAnsi="Times New Roman" w:cs="Times New Roman"/>
            <w:noProof/>
          </w:rPr>
          <w:t>2</w:t>
        </w:r>
        <w:r w:rsidRPr="00470340">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4684"/>
      <w:docPartObj>
        <w:docPartGallery w:val="Page Numbers (Bottom of Page)"/>
        <w:docPartUnique/>
      </w:docPartObj>
    </w:sdtPr>
    <w:sdtEndPr>
      <w:rPr>
        <w:rFonts w:ascii="Times New Roman" w:hAnsi="Times New Roman" w:cs="Times New Roman"/>
        <w:noProof/>
      </w:rPr>
    </w:sdtEndPr>
    <w:sdtContent>
      <w:p w14:paraId="3D3E3FA5" w14:textId="2A182119" w:rsidR="00470340" w:rsidRPr="00470340" w:rsidRDefault="00470340">
        <w:pPr>
          <w:pStyle w:val="Footer"/>
          <w:jc w:val="center"/>
          <w:rPr>
            <w:rFonts w:ascii="Times New Roman" w:hAnsi="Times New Roman" w:cs="Times New Roman"/>
          </w:rPr>
        </w:pPr>
        <w:r w:rsidRPr="00470340">
          <w:rPr>
            <w:rFonts w:ascii="Times New Roman" w:hAnsi="Times New Roman" w:cs="Times New Roman"/>
          </w:rPr>
          <w:fldChar w:fldCharType="begin"/>
        </w:r>
        <w:r w:rsidRPr="00470340">
          <w:rPr>
            <w:rFonts w:ascii="Times New Roman" w:hAnsi="Times New Roman" w:cs="Times New Roman"/>
          </w:rPr>
          <w:instrText xml:space="preserve"> PAGE   \* MERGEFORMAT </w:instrText>
        </w:r>
        <w:r w:rsidRPr="00470340">
          <w:rPr>
            <w:rFonts w:ascii="Times New Roman" w:hAnsi="Times New Roman" w:cs="Times New Roman"/>
          </w:rPr>
          <w:fldChar w:fldCharType="separate"/>
        </w:r>
        <w:r w:rsidRPr="00470340">
          <w:rPr>
            <w:rFonts w:ascii="Times New Roman" w:hAnsi="Times New Roman" w:cs="Times New Roman"/>
            <w:noProof/>
          </w:rPr>
          <w:t>2</w:t>
        </w:r>
        <w:r w:rsidRPr="00470340">
          <w:rPr>
            <w:rFonts w:ascii="Times New Roman" w:hAnsi="Times New Roman" w:cs="Times New Roman"/>
            <w:noProof/>
          </w:rPr>
          <w:fldChar w:fldCharType="end"/>
        </w:r>
      </w:p>
    </w:sdtContent>
  </w:sdt>
  <w:p w14:paraId="742A0C98" w14:textId="3957A813" w:rsidR="00470340" w:rsidRDefault="00470340" w:rsidP="00470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9950" w14:textId="77777777" w:rsidR="009174BE" w:rsidRDefault="009174BE">
      <w:pPr>
        <w:spacing w:after="0" w:line="240" w:lineRule="auto"/>
      </w:pPr>
      <w:r>
        <w:separator/>
      </w:r>
    </w:p>
  </w:footnote>
  <w:footnote w:type="continuationSeparator" w:id="0">
    <w:p w14:paraId="25F435C3" w14:textId="77777777" w:rsidR="009174BE" w:rsidRDefault="00917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0A21" w14:textId="73F58716" w:rsidR="00FB5816" w:rsidRPr="00540F85" w:rsidRDefault="00FB5816">
    <w:pPr>
      <w:pStyle w:val="Header"/>
      <w:jc w:val="right"/>
      <w:rPr>
        <w:rFonts w:ascii="Times New Roman" w:hAnsi="Times New Roman" w:cs="Times New Roman"/>
        <w:b/>
        <w:bCs/>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24A2" w14:textId="4FAE70FB" w:rsidR="00470340" w:rsidRPr="00470340" w:rsidRDefault="00470340" w:rsidP="00470340">
    <w:pPr>
      <w:pStyle w:val="Header"/>
      <w:jc w:val="right"/>
      <w:rPr>
        <w:rFonts w:ascii="Times New Roman" w:hAnsi="Times New Roman" w:cs="Times New Roman"/>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4D39"/>
    <w:multiLevelType w:val="hybridMultilevel"/>
    <w:tmpl w:val="9428565C"/>
    <w:lvl w:ilvl="0" w:tplc="EB7EF6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05028C"/>
    <w:multiLevelType w:val="multilevel"/>
    <w:tmpl w:val="D4762D06"/>
    <w:lvl w:ilvl="0">
      <w:start w:val="1"/>
      <w:numFmt w:val="upperRoman"/>
      <w:pStyle w:val="Number1"/>
      <w:suff w:val="nothing"/>
      <w:lvlText w:val="Article %1"/>
      <w:lvlJc w:val="left"/>
      <w:pPr>
        <w:ind w:left="0" w:firstLine="0"/>
      </w:pPr>
      <w:rPr>
        <w:rFonts w:ascii="Times" w:hAnsi="Times" w:cs="Times" w:hint="default"/>
        <w:b/>
        <w:i w:val="0"/>
        <w:caps/>
        <w:smallCaps w:val="0"/>
        <w:strike w:val="0"/>
        <w:dstrike w:val="0"/>
        <w:vanish w:val="0"/>
        <w:color w:val="000000"/>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Letter"/>
      <w:pStyle w:val="Number3"/>
      <w:lvlText w:val="(%3)"/>
      <w:lvlJc w:val="left"/>
      <w:pPr>
        <w:tabs>
          <w:tab w:val="num" w:pos="0"/>
        </w:tabs>
        <w:ind w:left="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lowerRoman"/>
      <w:pStyle w:val="Number4"/>
      <w:lvlText w:val="(%4)"/>
      <w:lvlJc w:val="left"/>
      <w:pPr>
        <w:tabs>
          <w:tab w:val="num" w:pos="-90"/>
        </w:tabs>
        <w:ind w:left="-90" w:firstLine="2160"/>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upp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decimal"/>
      <w:pStyle w:val="Number6"/>
      <w:lvlText w:val="(%6)"/>
      <w:lvlJc w:val="left"/>
      <w:pPr>
        <w:tabs>
          <w:tab w:val="num" w:pos="0"/>
        </w:tabs>
        <w:ind w:left="0" w:firstLine="360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lowerLetter"/>
      <w:pStyle w:val="Number7"/>
      <w:lvlText w:val="%7."/>
      <w:lvlJc w:val="left"/>
      <w:pPr>
        <w:tabs>
          <w:tab w:val="num" w:pos="0"/>
        </w:tabs>
        <w:ind w:left="2160" w:firstLine="216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lowerRoman"/>
      <w:pStyle w:val="Number8"/>
      <w:lvlText w:val="%8."/>
      <w:lvlJc w:val="left"/>
      <w:pPr>
        <w:tabs>
          <w:tab w:val="num" w:pos="0"/>
        </w:tabs>
        <w:ind w:left="2880" w:firstLine="216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upperLetter"/>
      <w:pStyle w:val="Number9"/>
      <w:lvlText w:val="%9."/>
      <w:lvlJc w:val="left"/>
      <w:pPr>
        <w:tabs>
          <w:tab w:val="num" w:pos="0"/>
        </w:tabs>
        <w:ind w:left="3600" w:firstLine="216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2" w15:restartNumberingAfterBreak="0">
    <w:nsid w:val="4A001652"/>
    <w:multiLevelType w:val="hybridMultilevel"/>
    <w:tmpl w:val="F28A2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2B2BEB"/>
    <w:multiLevelType w:val="hybridMultilevel"/>
    <w:tmpl w:val="3446EB82"/>
    <w:lvl w:ilvl="0" w:tplc="8772968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B15872"/>
    <w:multiLevelType w:val="hybridMultilevel"/>
    <w:tmpl w:val="A92202B2"/>
    <w:lvl w:ilvl="0" w:tplc="3020C0F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238F3"/>
    <w:multiLevelType w:val="hybridMultilevel"/>
    <w:tmpl w:val="F5C65342"/>
    <w:lvl w:ilvl="0" w:tplc="9F90D57E">
      <w:numFmt w:val="bullet"/>
      <w:lvlText w:val=""/>
      <w:lvlJc w:val="left"/>
      <w:pPr>
        <w:ind w:left="110" w:hanging="360"/>
      </w:pPr>
      <w:rPr>
        <w:rFonts w:ascii="Wingdings" w:eastAsia="Wingdings" w:hAnsi="Wingdings" w:cs="Wingdings" w:hint="default"/>
        <w:b w:val="0"/>
        <w:bCs w:val="0"/>
        <w:i w:val="0"/>
        <w:iCs w:val="0"/>
        <w:spacing w:val="0"/>
        <w:w w:val="100"/>
        <w:sz w:val="20"/>
        <w:szCs w:val="20"/>
        <w:lang w:val="en-US" w:eastAsia="en-US" w:bidi="ar-SA"/>
      </w:rPr>
    </w:lvl>
    <w:lvl w:ilvl="1" w:tplc="DCE855FC">
      <w:numFmt w:val="bullet"/>
      <w:lvlText w:val="•"/>
      <w:lvlJc w:val="left"/>
      <w:pPr>
        <w:ind w:left="1200" w:hanging="360"/>
      </w:pPr>
      <w:rPr>
        <w:rFonts w:hint="default"/>
        <w:lang w:val="en-US" w:eastAsia="en-US" w:bidi="ar-SA"/>
      </w:rPr>
    </w:lvl>
    <w:lvl w:ilvl="2" w:tplc="10FCEA0C">
      <w:numFmt w:val="bullet"/>
      <w:lvlText w:val="•"/>
      <w:lvlJc w:val="left"/>
      <w:pPr>
        <w:ind w:left="2300" w:hanging="360"/>
      </w:pPr>
      <w:rPr>
        <w:rFonts w:hint="default"/>
        <w:lang w:val="en-US" w:eastAsia="en-US" w:bidi="ar-SA"/>
      </w:rPr>
    </w:lvl>
    <w:lvl w:ilvl="3" w:tplc="7E2CD13E">
      <w:numFmt w:val="bullet"/>
      <w:lvlText w:val="•"/>
      <w:lvlJc w:val="left"/>
      <w:pPr>
        <w:ind w:left="3400" w:hanging="360"/>
      </w:pPr>
      <w:rPr>
        <w:rFonts w:hint="default"/>
        <w:lang w:val="en-US" w:eastAsia="en-US" w:bidi="ar-SA"/>
      </w:rPr>
    </w:lvl>
    <w:lvl w:ilvl="4" w:tplc="F084BA36">
      <w:numFmt w:val="bullet"/>
      <w:lvlText w:val="•"/>
      <w:lvlJc w:val="left"/>
      <w:pPr>
        <w:ind w:left="4500" w:hanging="360"/>
      </w:pPr>
      <w:rPr>
        <w:rFonts w:hint="default"/>
        <w:lang w:val="en-US" w:eastAsia="en-US" w:bidi="ar-SA"/>
      </w:rPr>
    </w:lvl>
    <w:lvl w:ilvl="5" w:tplc="2D28B526">
      <w:numFmt w:val="bullet"/>
      <w:lvlText w:val="•"/>
      <w:lvlJc w:val="left"/>
      <w:pPr>
        <w:ind w:left="5600" w:hanging="360"/>
      </w:pPr>
      <w:rPr>
        <w:rFonts w:hint="default"/>
        <w:lang w:val="en-US" w:eastAsia="en-US" w:bidi="ar-SA"/>
      </w:rPr>
    </w:lvl>
    <w:lvl w:ilvl="6" w:tplc="01C42486">
      <w:numFmt w:val="bullet"/>
      <w:lvlText w:val="•"/>
      <w:lvlJc w:val="left"/>
      <w:pPr>
        <w:ind w:left="6700" w:hanging="360"/>
      </w:pPr>
      <w:rPr>
        <w:rFonts w:hint="default"/>
        <w:lang w:val="en-US" w:eastAsia="en-US" w:bidi="ar-SA"/>
      </w:rPr>
    </w:lvl>
    <w:lvl w:ilvl="7" w:tplc="72E8CAF6">
      <w:numFmt w:val="bullet"/>
      <w:lvlText w:val="•"/>
      <w:lvlJc w:val="left"/>
      <w:pPr>
        <w:ind w:left="7800" w:hanging="360"/>
      </w:pPr>
      <w:rPr>
        <w:rFonts w:hint="default"/>
        <w:lang w:val="en-US" w:eastAsia="en-US" w:bidi="ar-SA"/>
      </w:rPr>
    </w:lvl>
    <w:lvl w:ilvl="8" w:tplc="D0781C92">
      <w:numFmt w:val="bullet"/>
      <w:lvlText w:val="•"/>
      <w:lvlJc w:val="left"/>
      <w:pPr>
        <w:ind w:left="8900" w:hanging="360"/>
      </w:pPr>
      <w:rPr>
        <w:rFonts w:hint="default"/>
        <w:lang w:val="en-US" w:eastAsia="en-US" w:bidi="ar-SA"/>
      </w:rPr>
    </w:lvl>
  </w:abstractNum>
  <w:abstractNum w:abstractNumId="6" w15:restartNumberingAfterBreak="0">
    <w:nsid w:val="7F4D1071"/>
    <w:multiLevelType w:val="hybridMultilevel"/>
    <w:tmpl w:val="EDE2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505959">
    <w:abstractNumId w:val="1"/>
  </w:num>
  <w:num w:numId="2" w16cid:durableId="1253510897">
    <w:abstractNumId w:val="4"/>
  </w:num>
  <w:num w:numId="3" w16cid:durableId="125123007">
    <w:abstractNumId w:val="0"/>
  </w:num>
  <w:num w:numId="4" w16cid:durableId="434208725">
    <w:abstractNumId w:val="3"/>
  </w:num>
  <w:num w:numId="5" w16cid:durableId="12339823">
    <w:abstractNumId w:val="2"/>
  </w:num>
  <w:num w:numId="6" w16cid:durableId="797798300">
    <w:abstractNumId w:val="6"/>
  </w:num>
  <w:num w:numId="7" w16cid:durableId="1141771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Date" w:val="False"/>
    <w:docVar w:name="DocIDDateText" w:val="False"/>
    <w:docVar w:name="DocIDLibrary" w:val="True"/>
    <w:docVar w:name="DocIDType" w:val="AllPages"/>
  </w:docVars>
  <w:rsids>
    <w:rsidRoot w:val="00FB5816"/>
    <w:rsid w:val="00001558"/>
    <w:rsid w:val="00001756"/>
    <w:rsid w:val="000025AE"/>
    <w:rsid w:val="00040712"/>
    <w:rsid w:val="000424C7"/>
    <w:rsid w:val="00046932"/>
    <w:rsid w:val="0005109E"/>
    <w:rsid w:val="000609C3"/>
    <w:rsid w:val="0007006B"/>
    <w:rsid w:val="00090B6E"/>
    <w:rsid w:val="000A348D"/>
    <w:rsid w:val="000E54AB"/>
    <w:rsid w:val="00101EDC"/>
    <w:rsid w:val="00114671"/>
    <w:rsid w:val="00121857"/>
    <w:rsid w:val="00182F11"/>
    <w:rsid w:val="00195D77"/>
    <w:rsid w:val="001B04ED"/>
    <w:rsid w:val="001C281F"/>
    <w:rsid w:val="001E6682"/>
    <w:rsid w:val="001F263E"/>
    <w:rsid w:val="001F29B1"/>
    <w:rsid w:val="001F4EBB"/>
    <w:rsid w:val="002049DE"/>
    <w:rsid w:val="00205ACB"/>
    <w:rsid w:val="00215BBB"/>
    <w:rsid w:val="00216527"/>
    <w:rsid w:val="00230CC6"/>
    <w:rsid w:val="00247CFA"/>
    <w:rsid w:val="002531E6"/>
    <w:rsid w:val="002733A8"/>
    <w:rsid w:val="00286484"/>
    <w:rsid w:val="00296015"/>
    <w:rsid w:val="002A34AC"/>
    <w:rsid w:val="002C25E6"/>
    <w:rsid w:val="002D2082"/>
    <w:rsid w:val="002F5F6D"/>
    <w:rsid w:val="002F6EE4"/>
    <w:rsid w:val="002F7D2B"/>
    <w:rsid w:val="00303354"/>
    <w:rsid w:val="0034004A"/>
    <w:rsid w:val="00344892"/>
    <w:rsid w:val="00386EF3"/>
    <w:rsid w:val="00390684"/>
    <w:rsid w:val="003920F6"/>
    <w:rsid w:val="00393AC0"/>
    <w:rsid w:val="003B6405"/>
    <w:rsid w:val="00470340"/>
    <w:rsid w:val="004A3141"/>
    <w:rsid w:val="004B7403"/>
    <w:rsid w:val="004C602E"/>
    <w:rsid w:val="004D166B"/>
    <w:rsid w:val="004E0199"/>
    <w:rsid w:val="004F2860"/>
    <w:rsid w:val="00512C28"/>
    <w:rsid w:val="005332B2"/>
    <w:rsid w:val="00533A6E"/>
    <w:rsid w:val="00536A91"/>
    <w:rsid w:val="00540F85"/>
    <w:rsid w:val="005467FD"/>
    <w:rsid w:val="0055531F"/>
    <w:rsid w:val="00560C4F"/>
    <w:rsid w:val="00590A1E"/>
    <w:rsid w:val="00591C02"/>
    <w:rsid w:val="005943B5"/>
    <w:rsid w:val="00594CB6"/>
    <w:rsid w:val="005A7BD7"/>
    <w:rsid w:val="005B47A7"/>
    <w:rsid w:val="005B6B86"/>
    <w:rsid w:val="005D5B43"/>
    <w:rsid w:val="00624582"/>
    <w:rsid w:val="0063198F"/>
    <w:rsid w:val="00663DC8"/>
    <w:rsid w:val="00664B4D"/>
    <w:rsid w:val="00673C46"/>
    <w:rsid w:val="00683168"/>
    <w:rsid w:val="0069084F"/>
    <w:rsid w:val="006C47AE"/>
    <w:rsid w:val="006D5B3F"/>
    <w:rsid w:val="00720495"/>
    <w:rsid w:val="007221C9"/>
    <w:rsid w:val="00747622"/>
    <w:rsid w:val="00750479"/>
    <w:rsid w:val="007542EB"/>
    <w:rsid w:val="0076779C"/>
    <w:rsid w:val="00773B55"/>
    <w:rsid w:val="007827B2"/>
    <w:rsid w:val="00794046"/>
    <w:rsid w:val="007A2A6D"/>
    <w:rsid w:val="007A56DF"/>
    <w:rsid w:val="007D27CB"/>
    <w:rsid w:val="007E3128"/>
    <w:rsid w:val="00802942"/>
    <w:rsid w:val="00810BE3"/>
    <w:rsid w:val="00820C06"/>
    <w:rsid w:val="008245E1"/>
    <w:rsid w:val="008374D6"/>
    <w:rsid w:val="008624C5"/>
    <w:rsid w:val="00880E63"/>
    <w:rsid w:val="0088220D"/>
    <w:rsid w:val="008828A2"/>
    <w:rsid w:val="008921AE"/>
    <w:rsid w:val="00893D24"/>
    <w:rsid w:val="008A289D"/>
    <w:rsid w:val="008B22D6"/>
    <w:rsid w:val="008B77B3"/>
    <w:rsid w:val="008C25CD"/>
    <w:rsid w:val="008E1F80"/>
    <w:rsid w:val="008E2163"/>
    <w:rsid w:val="009174BE"/>
    <w:rsid w:val="00953352"/>
    <w:rsid w:val="00972D32"/>
    <w:rsid w:val="00973F91"/>
    <w:rsid w:val="009741C7"/>
    <w:rsid w:val="0099042D"/>
    <w:rsid w:val="009A5A82"/>
    <w:rsid w:val="009D1B20"/>
    <w:rsid w:val="009E46AF"/>
    <w:rsid w:val="009F0924"/>
    <w:rsid w:val="00A053A0"/>
    <w:rsid w:val="00A20CCB"/>
    <w:rsid w:val="00A216A1"/>
    <w:rsid w:val="00A27E2A"/>
    <w:rsid w:val="00A37EE3"/>
    <w:rsid w:val="00A65D89"/>
    <w:rsid w:val="00A7054B"/>
    <w:rsid w:val="00A9100B"/>
    <w:rsid w:val="00A93077"/>
    <w:rsid w:val="00AD23B1"/>
    <w:rsid w:val="00AE066F"/>
    <w:rsid w:val="00AE28BF"/>
    <w:rsid w:val="00AF1BF2"/>
    <w:rsid w:val="00B13E9B"/>
    <w:rsid w:val="00B248F9"/>
    <w:rsid w:val="00B463CD"/>
    <w:rsid w:val="00B55B58"/>
    <w:rsid w:val="00B61127"/>
    <w:rsid w:val="00B8672B"/>
    <w:rsid w:val="00B958E1"/>
    <w:rsid w:val="00B97977"/>
    <w:rsid w:val="00BA76FC"/>
    <w:rsid w:val="00BC74CB"/>
    <w:rsid w:val="00BF42BC"/>
    <w:rsid w:val="00BF4D2D"/>
    <w:rsid w:val="00BF7A3B"/>
    <w:rsid w:val="00C05D5B"/>
    <w:rsid w:val="00C131BA"/>
    <w:rsid w:val="00C2040C"/>
    <w:rsid w:val="00C22666"/>
    <w:rsid w:val="00C23052"/>
    <w:rsid w:val="00C23B2B"/>
    <w:rsid w:val="00C24FB1"/>
    <w:rsid w:val="00C36688"/>
    <w:rsid w:val="00C36778"/>
    <w:rsid w:val="00C51D9F"/>
    <w:rsid w:val="00C6148E"/>
    <w:rsid w:val="00C64311"/>
    <w:rsid w:val="00C751A2"/>
    <w:rsid w:val="00C807D7"/>
    <w:rsid w:val="00CA69C8"/>
    <w:rsid w:val="00CB5C68"/>
    <w:rsid w:val="00CC0808"/>
    <w:rsid w:val="00CF08D0"/>
    <w:rsid w:val="00CF1113"/>
    <w:rsid w:val="00CF7A68"/>
    <w:rsid w:val="00D06210"/>
    <w:rsid w:val="00D0704C"/>
    <w:rsid w:val="00D20A4B"/>
    <w:rsid w:val="00D246BB"/>
    <w:rsid w:val="00D50D3D"/>
    <w:rsid w:val="00D53B46"/>
    <w:rsid w:val="00D5468D"/>
    <w:rsid w:val="00D5659B"/>
    <w:rsid w:val="00D75C77"/>
    <w:rsid w:val="00D86200"/>
    <w:rsid w:val="00D875CE"/>
    <w:rsid w:val="00D97ECB"/>
    <w:rsid w:val="00DA1367"/>
    <w:rsid w:val="00DA38AE"/>
    <w:rsid w:val="00DF7930"/>
    <w:rsid w:val="00E04BC1"/>
    <w:rsid w:val="00E10418"/>
    <w:rsid w:val="00E17B5E"/>
    <w:rsid w:val="00E32124"/>
    <w:rsid w:val="00E73509"/>
    <w:rsid w:val="00E90602"/>
    <w:rsid w:val="00EB060B"/>
    <w:rsid w:val="00EC1162"/>
    <w:rsid w:val="00ED33D1"/>
    <w:rsid w:val="00F115E5"/>
    <w:rsid w:val="00F47EDA"/>
    <w:rsid w:val="00F6331D"/>
    <w:rsid w:val="00F74A5B"/>
    <w:rsid w:val="00F92A93"/>
    <w:rsid w:val="00FA1069"/>
    <w:rsid w:val="00FA5104"/>
    <w:rsid w:val="00FB5816"/>
    <w:rsid w:val="00FC6EC8"/>
    <w:rsid w:val="00FC7E8D"/>
    <w:rsid w:val="00FE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C146A"/>
  <w15:chartTrackingRefBased/>
  <w15:docId w15:val="{F2974B21-9BEF-41E3-BA63-2D4CA0F4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1">
    <w:name w:val="Number 1"/>
    <w:basedOn w:val="Normal"/>
    <w:pPr>
      <w:keepNext/>
      <w:numPr>
        <w:numId w:val="1"/>
      </w:numPr>
      <w:spacing w:after="240" w:line="240" w:lineRule="auto"/>
      <w:jc w:val="center"/>
      <w:outlineLvl w:val="0"/>
    </w:pPr>
    <w:rPr>
      <w:rFonts w:ascii="Times New Roman" w:eastAsia="Calibri" w:hAnsi="Times New Roman" w:cs="Times New Roman"/>
      <w:caps/>
      <w:color w:val="000000"/>
      <w:sz w:val="24"/>
      <w:szCs w:val="24"/>
    </w:rPr>
  </w:style>
  <w:style w:type="paragraph" w:customStyle="1" w:styleId="Number2">
    <w:name w:val="Number 2"/>
    <w:basedOn w:val="Normal"/>
    <w:pPr>
      <w:numPr>
        <w:ilvl w:val="1"/>
        <w:numId w:val="1"/>
      </w:numPr>
      <w:spacing w:after="240" w:line="240" w:lineRule="auto"/>
      <w:jc w:val="both"/>
      <w:outlineLvl w:val="1"/>
    </w:pPr>
    <w:rPr>
      <w:rFonts w:ascii="Times New Roman" w:eastAsia="Calibri" w:hAnsi="Times New Roman" w:cs="Times New Roman"/>
      <w:color w:val="000000"/>
      <w:sz w:val="24"/>
      <w:szCs w:val="24"/>
    </w:rPr>
  </w:style>
  <w:style w:type="paragraph" w:customStyle="1" w:styleId="Number3">
    <w:name w:val="Number 3"/>
    <w:basedOn w:val="Normal"/>
    <w:link w:val="Number3Char"/>
    <w:pPr>
      <w:numPr>
        <w:ilvl w:val="2"/>
        <w:numId w:val="1"/>
      </w:numPr>
      <w:spacing w:after="240" w:line="240" w:lineRule="auto"/>
      <w:jc w:val="both"/>
      <w:outlineLvl w:val="2"/>
    </w:pPr>
    <w:rPr>
      <w:rFonts w:ascii="Times New Roman" w:eastAsia="Calibri" w:hAnsi="Times New Roman" w:cs="Times New Roman"/>
      <w:color w:val="000000"/>
      <w:sz w:val="24"/>
      <w:szCs w:val="24"/>
    </w:rPr>
  </w:style>
  <w:style w:type="character" w:customStyle="1" w:styleId="Number3Char">
    <w:name w:val="Number 3 Char"/>
    <w:link w:val="Number3"/>
    <w:rPr>
      <w:rFonts w:ascii="Times New Roman" w:eastAsia="Calibri" w:hAnsi="Times New Roman" w:cs="Times New Roman"/>
      <w:color w:val="000000"/>
      <w:sz w:val="24"/>
      <w:szCs w:val="24"/>
    </w:rPr>
  </w:style>
  <w:style w:type="paragraph" w:customStyle="1" w:styleId="Number4">
    <w:name w:val="Number 4"/>
    <w:basedOn w:val="Normal"/>
    <w:pPr>
      <w:numPr>
        <w:ilvl w:val="3"/>
        <w:numId w:val="1"/>
      </w:numPr>
      <w:tabs>
        <w:tab w:val="clear" w:pos="-90"/>
        <w:tab w:val="num" w:pos="0"/>
      </w:tabs>
      <w:spacing w:after="240" w:line="240" w:lineRule="auto"/>
      <w:ind w:left="0"/>
      <w:jc w:val="both"/>
      <w:outlineLvl w:val="3"/>
    </w:pPr>
    <w:rPr>
      <w:rFonts w:ascii="Times New Roman" w:eastAsia="Calibri" w:hAnsi="Times New Roman" w:cs="Times New Roman"/>
      <w:color w:val="000000"/>
      <w:sz w:val="24"/>
      <w:szCs w:val="24"/>
    </w:rPr>
  </w:style>
  <w:style w:type="paragraph" w:customStyle="1" w:styleId="Number5">
    <w:name w:val="Number 5"/>
    <w:basedOn w:val="Normal"/>
    <w:pPr>
      <w:numPr>
        <w:ilvl w:val="4"/>
        <w:numId w:val="1"/>
      </w:numPr>
      <w:spacing w:after="240" w:line="240" w:lineRule="auto"/>
      <w:jc w:val="both"/>
      <w:outlineLvl w:val="4"/>
    </w:pPr>
    <w:rPr>
      <w:rFonts w:ascii="Times New Roman" w:eastAsia="Calibri" w:hAnsi="Times New Roman" w:cs="Times New Roman"/>
      <w:color w:val="000000"/>
      <w:sz w:val="24"/>
      <w:szCs w:val="24"/>
    </w:rPr>
  </w:style>
  <w:style w:type="paragraph" w:customStyle="1" w:styleId="Number6">
    <w:name w:val="Number 6"/>
    <w:basedOn w:val="Normal"/>
    <w:pPr>
      <w:numPr>
        <w:ilvl w:val="5"/>
        <w:numId w:val="1"/>
      </w:numPr>
      <w:spacing w:after="240" w:line="240" w:lineRule="auto"/>
      <w:jc w:val="both"/>
      <w:outlineLvl w:val="5"/>
    </w:pPr>
    <w:rPr>
      <w:rFonts w:ascii="Times New Roman" w:eastAsia="Calibri" w:hAnsi="Times New Roman" w:cs="Times New Roman"/>
      <w:color w:val="000000"/>
      <w:sz w:val="24"/>
      <w:szCs w:val="24"/>
    </w:rPr>
  </w:style>
  <w:style w:type="paragraph" w:customStyle="1" w:styleId="Number7">
    <w:name w:val="Number 7"/>
    <w:basedOn w:val="Normal"/>
    <w:pPr>
      <w:numPr>
        <w:ilvl w:val="6"/>
        <w:numId w:val="1"/>
      </w:numPr>
      <w:spacing w:after="240" w:line="240" w:lineRule="auto"/>
      <w:jc w:val="both"/>
      <w:outlineLvl w:val="6"/>
    </w:pPr>
    <w:rPr>
      <w:rFonts w:ascii="Times New Roman" w:eastAsia="Calibri" w:hAnsi="Times New Roman" w:cs="Times New Roman"/>
      <w:color w:val="000000"/>
      <w:sz w:val="24"/>
      <w:szCs w:val="24"/>
    </w:rPr>
  </w:style>
  <w:style w:type="paragraph" w:customStyle="1" w:styleId="Number8">
    <w:name w:val="Number 8"/>
    <w:basedOn w:val="Normal"/>
    <w:pPr>
      <w:numPr>
        <w:ilvl w:val="7"/>
        <w:numId w:val="1"/>
      </w:numPr>
      <w:spacing w:after="240" w:line="240" w:lineRule="auto"/>
      <w:jc w:val="both"/>
      <w:outlineLvl w:val="7"/>
    </w:pPr>
    <w:rPr>
      <w:rFonts w:ascii="Times New Roman" w:eastAsia="Calibri" w:hAnsi="Times New Roman" w:cs="Times New Roman"/>
      <w:color w:val="000000"/>
      <w:sz w:val="24"/>
      <w:szCs w:val="24"/>
    </w:rPr>
  </w:style>
  <w:style w:type="paragraph" w:customStyle="1" w:styleId="Number9">
    <w:name w:val="Number 9"/>
    <w:basedOn w:val="Normal"/>
    <w:pPr>
      <w:numPr>
        <w:ilvl w:val="8"/>
        <w:numId w:val="1"/>
      </w:numPr>
      <w:spacing w:after="240" w:line="240" w:lineRule="auto"/>
      <w:jc w:val="both"/>
      <w:outlineLvl w:val="8"/>
    </w:pPr>
    <w:rPr>
      <w:rFonts w:ascii="Times New Roman" w:eastAsia="Calibri"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rsid w:val="00C751A2"/>
    <w:pPr>
      <w:ind w:left="720"/>
      <w:contextualSpacing/>
    </w:pPr>
  </w:style>
  <w:style w:type="character" w:styleId="UnresolvedMention">
    <w:name w:val="Unresolved Mention"/>
    <w:basedOn w:val="DefaultParagraphFont"/>
    <w:uiPriority w:val="99"/>
    <w:semiHidden/>
    <w:unhideWhenUsed/>
    <w:rsid w:val="00247CFA"/>
    <w:rPr>
      <w:color w:val="605E5C"/>
      <w:shd w:val="clear" w:color="auto" w:fill="E1DFDD"/>
    </w:rPr>
  </w:style>
  <w:style w:type="character" w:styleId="CommentReference">
    <w:name w:val="annotation reference"/>
    <w:basedOn w:val="DefaultParagraphFont"/>
    <w:uiPriority w:val="99"/>
    <w:semiHidden/>
    <w:unhideWhenUsed/>
    <w:rsid w:val="00114671"/>
    <w:rPr>
      <w:sz w:val="16"/>
      <w:szCs w:val="16"/>
    </w:rPr>
  </w:style>
  <w:style w:type="paragraph" w:styleId="CommentText">
    <w:name w:val="annotation text"/>
    <w:basedOn w:val="Normal"/>
    <w:link w:val="CommentTextChar"/>
    <w:uiPriority w:val="99"/>
    <w:unhideWhenUsed/>
    <w:rsid w:val="00114671"/>
    <w:pPr>
      <w:spacing w:line="240" w:lineRule="auto"/>
    </w:pPr>
    <w:rPr>
      <w:sz w:val="20"/>
      <w:szCs w:val="20"/>
    </w:rPr>
  </w:style>
  <w:style w:type="character" w:customStyle="1" w:styleId="CommentTextChar">
    <w:name w:val="Comment Text Char"/>
    <w:basedOn w:val="DefaultParagraphFont"/>
    <w:link w:val="CommentText"/>
    <w:uiPriority w:val="99"/>
    <w:rsid w:val="00114671"/>
    <w:rPr>
      <w:sz w:val="20"/>
      <w:szCs w:val="20"/>
    </w:rPr>
  </w:style>
  <w:style w:type="paragraph" w:styleId="CommentSubject">
    <w:name w:val="annotation subject"/>
    <w:basedOn w:val="CommentText"/>
    <w:next w:val="CommentText"/>
    <w:link w:val="CommentSubjectChar"/>
    <w:uiPriority w:val="99"/>
    <w:semiHidden/>
    <w:unhideWhenUsed/>
    <w:rsid w:val="00114671"/>
    <w:rPr>
      <w:b/>
      <w:bCs/>
    </w:rPr>
  </w:style>
  <w:style w:type="character" w:customStyle="1" w:styleId="CommentSubjectChar">
    <w:name w:val="Comment Subject Char"/>
    <w:basedOn w:val="CommentTextChar"/>
    <w:link w:val="CommentSubject"/>
    <w:uiPriority w:val="99"/>
    <w:semiHidden/>
    <w:rsid w:val="00114671"/>
    <w:rPr>
      <w:b/>
      <w:bCs/>
      <w:sz w:val="20"/>
      <w:szCs w:val="20"/>
    </w:rPr>
  </w:style>
  <w:style w:type="paragraph" w:styleId="BodyText">
    <w:name w:val="Body Text"/>
    <w:basedOn w:val="Normal"/>
    <w:link w:val="BodyTextChar"/>
    <w:uiPriority w:val="1"/>
    <w:qFormat/>
    <w:rsid w:val="006D5B3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D5B3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911">
      <w:bodyDiv w:val="1"/>
      <w:marLeft w:val="0"/>
      <w:marRight w:val="0"/>
      <w:marTop w:val="0"/>
      <w:marBottom w:val="0"/>
      <w:divBdr>
        <w:top w:val="none" w:sz="0" w:space="0" w:color="auto"/>
        <w:left w:val="none" w:sz="0" w:space="0" w:color="auto"/>
        <w:bottom w:val="none" w:sz="0" w:space="0" w:color="auto"/>
        <w:right w:val="none" w:sz="0" w:space="0" w:color="auto"/>
      </w:divBdr>
      <w:divsChild>
        <w:div w:id="859468182">
          <w:marLeft w:val="0"/>
          <w:marRight w:val="0"/>
          <w:marTop w:val="0"/>
          <w:marBottom w:val="0"/>
          <w:divBdr>
            <w:top w:val="none" w:sz="0" w:space="0" w:color="auto"/>
            <w:left w:val="none" w:sz="0" w:space="0" w:color="auto"/>
            <w:bottom w:val="none" w:sz="0" w:space="0" w:color="auto"/>
            <w:right w:val="none" w:sz="0" w:space="0" w:color="auto"/>
          </w:divBdr>
        </w:div>
      </w:divsChild>
    </w:div>
    <w:div w:id="190344779">
      <w:bodyDiv w:val="1"/>
      <w:marLeft w:val="0"/>
      <w:marRight w:val="0"/>
      <w:marTop w:val="0"/>
      <w:marBottom w:val="0"/>
      <w:divBdr>
        <w:top w:val="none" w:sz="0" w:space="0" w:color="auto"/>
        <w:left w:val="none" w:sz="0" w:space="0" w:color="auto"/>
        <w:bottom w:val="none" w:sz="0" w:space="0" w:color="auto"/>
        <w:right w:val="none" w:sz="0" w:space="0" w:color="auto"/>
      </w:divBdr>
    </w:div>
    <w:div w:id="339939228">
      <w:bodyDiv w:val="1"/>
      <w:marLeft w:val="0"/>
      <w:marRight w:val="0"/>
      <w:marTop w:val="0"/>
      <w:marBottom w:val="0"/>
      <w:divBdr>
        <w:top w:val="none" w:sz="0" w:space="0" w:color="auto"/>
        <w:left w:val="none" w:sz="0" w:space="0" w:color="auto"/>
        <w:bottom w:val="none" w:sz="0" w:space="0" w:color="auto"/>
        <w:right w:val="none" w:sz="0" w:space="0" w:color="auto"/>
      </w:divBdr>
      <w:divsChild>
        <w:div w:id="1048454762">
          <w:marLeft w:val="0"/>
          <w:marRight w:val="0"/>
          <w:marTop w:val="0"/>
          <w:marBottom w:val="0"/>
          <w:divBdr>
            <w:top w:val="none" w:sz="0" w:space="0" w:color="auto"/>
            <w:left w:val="none" w:sz="0" w:space="0" w:color="auto"/>
            <w:bottom w:val="none" w:sz="0" w:space="0" w:color="auto"/>
            <w:right w:val="none" w:sz="0" w:space="0" w:color="auto"/>
          </w:divBdr>
        </w:div>
      </w:divsChild>
    </w:div>
    <w:div w:id="646711404">
      <w:bodyDiv w:val="1"/>
      <w:marLeft w:val="0"/>
      <w:marRight w:val="0"/>
      <w:marTop w:val="0"/>
      <w:marBottom w:val="0"/>
      <w:divBdr>
        <w:top w:val="none" w:sz="0" w:space="0" w:color="auto"/>
        <w:left w:val="none" w:sz="0" w:space="0" w:color="auto"/>
        <w:bottom w:val="none" w:sz="0" w:space="0" w:color="auto"/>
        <w:right w:val="none" w:sz="0" w:space="0" w:color="auto"/>
      </w:divBdr>
    </w:div>
    <w:div w:id="853029871">
      <w:bodyDiv w:val="1"/>
      <w:marLeft w:val="0"/>
      <w:marRight w:val="0"/>
      <w:marTop w:val="0"/>
      <w:marBottom w:val="0"/>
      <w:divBdr>
        <w:top w:val="none" w:sz="0" w:space="0" w:color="auto"/>
        <w:left w:val="none" w:sz="0" w:space="0" w:color="auto"/>
        <w:bottom w:val="none" w:sz="0" w:space="0" w:color="auto"/>
        <w:right w:val="none" w:sz="0" w:space="0" w:color="auto"/>
      </w:divBdr>
    </w:div>
    <w:div w:id="1198278863">
      <w:bodyDiv w:val="1"/>
      <w:marLeft w:val="0"/>
      <w:marRight w:val="0"/>
      <w:marTop w:val="0"/>
      <w:marBottom w:val="0"/>
      <w:divBdr>
        <w:top w:val="none" w:sz="0" w:space="0" w:color="auto"/>
        <w:left w:val="none" w:sz="0" w:space="0" w:color="auto"/>
        <w:bottom w:val="none" w:sz="0" w:space="0" w:color="auto"/>
        <w:right w:val="none" w:sz="0" w:space="0" w:color="auto"/>
      </w:divBdr>
    </w:div>
    <w:div w:id="1327367181">
      <w:bodyDiv w:val="1"/>
      <w:marLeft w:val="0"/>
      <w:marRight w:val="0"/>
      <w:marTop w:val="0"/>
      <w:marBottom w:val="0"/>
      <w:divBdr>
        <w:top w:val="none" w:sz="0" w:space="0" w:color="auto"/>
        <w:left w:val="none" w:sz="0" w:space="0" w:color="auto"/>
        <w:bottom w:val="none" w:sz="0" w:space="0" w:color="auto"/>
        <w:right w:val="none" w:sz="0" w:space="0" w:color="auto"/>
      </w:divBdr>
    </w:div>
    <w:div w:id="1450540618">
      <w:bodyDiv w:val="1"/>
      <w:marLeft w:val="0"/>
      <w:marRight w:val="0"/>
      <w:marTop w:val="0"/>
      <w:marBottom w:val="0"/>
      <w:divBdr>
        <w:top w:val="none" w:sz="0" w:space="0" w:color="auto"/>
        <w:left w:val="none" w:sz="0" w:space="0" w:color="auto"/>
        <w:bottom w:val="none" w:sz="0" w:space="0" w:color="auto"/>
        <w:right w:val="none" w:sz="0" w:space="0" w:color="auto"/>
      </w:divBdr>
    </w:div>
    <w:div w:id="1664552616">
      <w:bodyDiv w:val="1"/>
      <w:marLeft w:val="0"/>
      <w:marRight w:val="0"/>
      <w:marTop w:val="0"/>
      <w:marBottom w:val="0"/>
      <w:divBdr>
        <w:top w:val="none" w:sz="0" w:space="0" w:color="auto"/>
        <w:left w:val="none" w:sz="0" w:space="0" w:color="auto"/>
        <w:bottom w:val="none" w:sz="0" w:space="0" w:color="auto"/>
        <w:right w:val="none" w:sz="0" w:space="0" w:color="auto"/>
      </w:divBdr>
    </w:div>
    <w:div w:id="18004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3E92F-3963-463D-A08E-C2A9D9A1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450</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McNamara</dc:creator>
  <cp:keywords/>
  <dc:description/>
  <cp:lastModifiedBy>Stephen Rabalais</cp:lastModifiedBy>
  <cp:revision>5</cp:revision>
  <cp:lastPrinted>2024-10-23T22:09:00Z</cp:lastPrinted>
  <dcterms:created xsi:type="dcterms:W3CDTF">2025-06-23T19:42:00Z</dcterms:created>
  <dcterms:modified xsi:type="dcterms:W3CDTF">2025-06-25T20:08:00Z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#102175654v2</vt:lpwstr>
  </property>
</Properties>
</file>